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B3BC" w14:textId="537EFB4F" w:rsidR="00E81A92" w:rsidRDefault="00E81A92" w:rsidP="00AD3F5F">
      <w:pPr>
        <w:pStyle w:val="Chartsource"/>
        <w:keepLines/>
      </w:pPr>
    </w:p>
    <w:p w14:paraId="3363A839" w14:textId="350A5409" w:rsidR="008B5AD4" w:rsidRDefault="008B5AD4" w:rsidP="008B5AD4">
      <w:pPr>
        <w:pStyle w:val="Factsheettitle"/>
      </w:pPr>
      <w:r>
        <w:t>Approved Advanced Diplomas of Financial Planning and</w:t>
      </w:r>
      <w:r>
        <w:br/>
        <w:t>Professional Designations</w:t>
      </w:r>
    </w:p>
    <w:p w14:paraId="12A97971" w14:textId="222F5B38" w:rsidR="008B5AD4" w:rsidRDefault="008B5AD4" w:rsidP="008B5AD4">
      <w:pPr>
        <w:pStyle w:val="Boxbullet"/>
        <w:numPr>
          <w:ilvl w:val="0"/>
          <w:numId w:val="0"/>
        </w:numPr>
        <w:ind w:left="170" w:hanging="170"/>
      </w:pPr>
      <w:r>
        <w:t>As of 2</w:t>
      </w:r>
      <w:r w:rsidR="00E227F4">
        <w:t>5</w:t>
      </w:r>
      <w:r>
        <w:t xml:space="preserve"> </w:t>
      </w:r>
      <w:r w:rsidR="00EB278B">
        <w:t>July</w:t>
      </w:r>
      <w:r>
        <w:t xml:space="preserve"> 2023</w:t>
      </w:r>
    </w:p>
    <w:p w14:paraId="042F4276" w14:textId="6B377A9B" w:rsidR="008B5AD4" w:rsidRDefault="00197021" w:rsidP="001D48B5">
      <w:pPr>
        <w:pStyle w:val="Boxbullet"/>
        <w:numPr>
          <w:ilvl w:val="0"/>
          <w:numId w:val="0"/>
        </w:numPr>
      </w:pPr>
      <w:r>
        <w:t xml:space="preserve">See the Treasury’s Financial Adviser Standards website at </w:t>
      </w:r>
      <w:r w:rsidRPr="00197021">
        <w:rPr>
          <w:u w:val="single"/>
        </w:rPr>
        <w:t>https://fas.treasury.gov.au/</w:t>
      </w:r>
      <w:r>
        <w:t xml:space="preserve"> for more information</w:t>
      </w:r>
      <w:r w:rsidR="00BF1CED">
        <w:t>.</w:t>
      </w:r>
    </w:p>
    <w:p w14:paraId="509012D9" w14:textId="77777777" w:rsidR="001D48B5" w:rsidRDefault="001D48B5" w:rsidP="008B5AD4">
      <w:pPr>
        <w:pStyle w:val="Boxbullet"/>
        <w:numPr>
          <w:ilvl w:val="0"/>
          <w:numId w:val="0"/>
        </w:numPr>
      </w:pPr>
    </w:p>
    <w:p w14:paraId="39B1EADD" w14:textId="7BD90B36" w:rsidR="008B5AD4" w:rsidRDefault="008B5AD4" w:rsidP="008B5AD4">
      <w:pPr>
        <w:pStyle w:val="Boxbullet"/>
        <w:numPr>
          <w:ilvl w:val="0"/>
          <w:numId w:val="0"/>
        </w:numPr>
      </w:pPr>
      <w:r w:rsidRPr="008B5AD4">
        <w:t>Th</w:t>
      </w:r>
      <w:r w:rsidR="00DB4086">
        <w:t xml:space="preserve">is document summarises the </w:t>
      </w:r>
      <w:r w:rsidR="00323172">
        <w:t>lis</w:t>
      </w:r>
      <w:r w:rsidRPr="008B5AD4">
        <w:t xml:space="preserve">t of approved Advanced Diplomas of Financial Planning and Professional Designations are defined in </w:t>
      </w:r>
      <w:r w:rsidR="00155271">
        <w:t>S</w:t>
      </w:r>
      <w:r w:rsidR="00CA53DD">
        <w:t xml:space="preserve">ection </w:t>
      </w:r>
      <w:r w:rsidRPr="00CA53DD">
        <w:t>5</w:t>
      </w:r>
      <w:r w:rsidR="00155271">
        <w:t xml:space="preserve"> -</w:t>
      </w:r>
      <w:r w:rsidR="00CA53DD" w:rsidRPr="00CA53DD">
        <w:rPr>
          <w:i/>
          <w:iCs/>
        </w:rPr>
        <w:t xml:space="preserve"> </w:t>
      </w:r>
      <w:r w:rsidR="00CA53DD" w:rsidRPr="00CA53DD">
        <w:t>‘Definitions’</w:t>
      </w:r>
      <w:r w:rsidR="00CA53DD">
        <w:t xml:space="preserve"> </w:t>
      </w:r>
      <w:r w:rsidRPr="008B5AD4">
        <w:t xml:space="preserve">of the </w:t>
      </w:r>
      <w:r w:rsidRPr="008F14DB">
        <w:rPr>
          <w:i/>
          <w:iCs/>
        </w:rPr>
        <w:t>Corporations (Relevant Providers Degrees, Qualifications and Courses Standard) Determination 2021</w:t>
      </w:r>
      <w:r w:rsidR="00E57F92">
        <w:t>.</w:t>
      </w:r>
    </w:p>
    <w:p w14:paraId="24DD9E40" w14:textId="705E647C" w:rsidR="008B5AD4" w:rsidRDefault="008B5AD4" w:rsidP="008B5AD4">
      <w:pPr>
        <w:pStyle w:val="Boxbullet"/>
        <w:numPr>
          <w:ilvl w:val="0"/>
          <w:numId w:val="0"/>
        </w:numPr>
      </w:pPr>
      <w:r w:rsidRPr="008B5AD4">
        <w:t>These qualifications can reduce the additional study required for existing advisers</w:t>
      </w:r>
      <w:r w:rsidR="006D138F">
        <w:t>, including during the foreign qualification assessment process.</w:t>
      </w:r>
    </w:p>
    <w:p w14:paraId="3F3020A5" w14:textId="08A5C4AF" w:rsidR="00A27399" w:rsidRPr="00A27399" w:rsidRDefault="008B5AD4" w:rsidP="000B1D23">
      <w:pPr>
        <w:pStyle w:val="Heading1"/>
      </w:pPr>
      <w:r>
        <w:t>Approved ADFPs</w:t>
      </w:r>
    </w:p>
    <w:p w14:paraId="223E6EBA" w14:textId="6EC06DF4" w:rsidR="00AC2C4F" w:rsidRPr="00AC2C4F" w:rsidRDefault="00D84A5C" w:rsidP="000B1D23">
      <w:pPr>
        <w:pStyle w:val="Heading4"/>
      </w:pPr>
      <w:r>
        <w:t xml:space="preserve">No </w:t>
      </w:r>
      <w:r w:rsidR="00826682">
        <w:t>specified</w:t>
      </w:r>
      <w:r>
        <w:t xml:space="preserve"> professional body</w:t>
      </w:r>
    </w:p>
    <w:tbl>
      <w:tblPr>
        <w:tblW w:w="965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9212"/>
      </w:tblGrid>
      <w:tr w:rsidR="00980493" w:rsidRPr="008B5AD4" w14:paraId="0FAAB598" w14:textId="77777777" w:rsidTr="00285B65">
        <w:trPr>
          <w:trHeight w:val="1687"/>
        </w:trPr>
        <w:tc>
          <w:tcPr>
            <w:tcW w:w="441" w:type="dxa"/>
            <w:tcBorders>
              <w:bottom w:val="single" w:sz="4" w:space="0" w:color="D6D6D6" w:themeColor="background2" w:themeShade="E6"/>
            </w:tcBorders>
          </w:tcPr>
          <w:p w14:paraId="31A3C9D6" w14:textId="46CB3AD2" w:rsidR="00980493" w:rsidRDefault="000B1D23" w:rsidP="00C9545A">
            <w:pPr>
              <w:pStyle w:val="Chart"/>
              <w:jc w:val="left"/>
            </w:pPr>
            <w:r>
              <w:t>(1)</w:t>
            </w:r>
          </w:p>
        </w:tc>
        <w:tc>
          <w:tcPr>
            <w:tcW w:w="9212" w:type="dxa"/>
            <w:tcBorders>
              <w:bottom w:val="single" w:sz="4" w:space="0" w:color="D6D6D6" w:themeColor="background2" w:themeShade="E6"/>
            </w:tcBorders>
            <w:shd w:val="clear" w:color="auto" w:fill="auto"/>
          </w:tcPr>
          <w:p w14:paraId="7382DE85" w14:textId="1E723F52" w:rsidR="00980493" w:rsidRPr="003E0A75" w:rsidRDefault="00980493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3E0A75">
              <w:t xml:space="preserve">A diploma awarded by an NVR registered training organisation within the meaning of </w:t>
            </w:r>
            <w:r w:rsidRPr="005E44AF">
              <w:rPr>
                <w:i/>
                <w:iCs/>
              </w:rPr>
              <w:t>the</w:t>
            </w:r>
            <w:r w:rsidRPr="005E44AF">
              <w:t> </w:t>
            </w:r>
            <w:r w:rsidRPr="005E44AF">
              <w:rPr>
                <w:i/>
                <w:iCs/>
              </w:rPr>
              <w:t>National Vocational Education and Training Regulator Act 2011</w:t>
            </w:r>
            <w:r w:rsidRPr="003E0A75">
              <w:t>, being a diploma that: </w:t>
            </w:r>
          </w:p>
          <w:p w14:paraId="7E9F94F7" w14:textId="77777777" w:rsidR="00980493" w:rsidRPr="003E0A75" w:rsidRDefault="00980493" w:rsidP="00C9545A">
            <w:pPr>
              <w:pStyle w:val="Chart"/>
              <w:ind w:left="708"/>
              <w:jc w:val="left"/>
              <w:rPr>
                <w:rFonts w:ascii="Segoe UI" w:hAnsi="Segoe UI" w:cs="Segoe UI"/>
              </w:rPr>
            </w:pPr>
            <w:r w:rsidRPr="003E0A75">
              <w:t>(i)  satisfies the AQF criteria for AQF level 6 or higher; and </w:t>
            </w:r>
          </w:p>
          <w:p w14:paraId="4B22C349" w14:textId="77777777" w:rsidR="00980493" w:rsidRPr="008B5AD4" w:rsidRDefault="00980493" w:rsidP="00C9545A">
            <w:pPr>
              <w:pStyle w:val="Chart"/>
              <w:ind w:left="708"/>
              <w:jc w:val="left"/>
            </w:pPr>
            <w:r w:rsidRPr="003E0A75">
              <w:t>(ii)  includes 8 units of study that are specific to financial planning or financial advice </w:t>
            </w:r>
          </w:p>
        </w:tc>
      </w:tr>
      <w:tr w:rsidR="00980493" w:rsidRPr="008B5AD4" w14:paraId="3BE2D925" w14:textId="77777777" w:rsidTr="00C9545A">
        <w:trPr>
          <w:trHeight w:val="300"/>
        </w:trPr>
        <w:tc>
          <w:tcPr>
            <w:tcW w:w="441" w:type="dxa"/>
            <w:tcBorders>
              <w:top w:val="single" w:sz="4" w:space="0" w:color="D6D6D6" w:themeColor="background2" w:themeShade="E6"/>
            </w:tcBorders>
          </w:tcPr>
          <w:p w14:paraId="2305352E" w14:textId="6C3AFDBF" w:rsidR="00980493" w:rsidRDefault="000B1D23" w:rsidP="00C9545A">
            <w:pPr>
              <w:pStyle w:val="Chart"/>
              <w:jc w:val="left"/>
            </w:pPr>
            <w:r>
              <w:t>(2)</w:t>
            </w:r>
          </w:p>
        </w:tc>
        <w:tc>
          <w:tcPr>
            <w:tcW w:w="9212" w:type="dxa"/>
            <w:tcBorders>
              <w:top w:val="single" w:sz="4" w:space="0" w:color="D6D6D6" w:themeColor="background2" w:themeShade="E6"/>
            </w:tcBorders>
            <w:shd w:val="clear" w:color="auto" w:fill="auto"/>
          </w:tcPr>
          <w:p w14:paraId="19D5D897" w14:textId="77777777" w:rsidR="00980493" w:rsidRPr="008B5AD4" w:rsidRDefault="00980493" w:rsidP="00C9545A">
            <w:pPr>
              <w:pStyle w:val="Chart"/>
              <w:jc w:val="left"/>
            </w:pPr>
            <w:r w:rsidRPr="003E0A75">
              <w:t>the Advanced Diploma of Financial Services (Financial Planning)</w:t>
            </w:r>
          </w:p>
        </w:tc>
      </w:tr>
    </w:tbl>
    <w:p w14:paraId="113577EB" w14:textId="06F93066" w:rsidR="00980493" w:rsidRDefault="00950CE8" w:rsidP="00980493">
      <w:pPr>
        <w:pStyle w:val="Heading4"/>
      </w:pPr>
      <w:r>
        <w:br/>
      </w:r>
      <w:r w:rsidR="00980493" w:rsidRPr="008B5AD4">
        <w:t>Financial Planning Association of Australia </w:t>
      </w: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9213"/>
      </w:tblGrid>
      <w:tr w:rsidR="00D84A5C" w:rsidRPr="008B5AD4" w14:paraId="79623CBF" w14:textId="77777777" w:rsidTr="00285B65">
        <w:trPr>
          <w:trHeight w:val="646"/>
        </w:trPr>
        <w:tc>
          <w:tcPr>
            <w:tcW w:w="441" w:type="dxa"/>
          </w:tcPr>
          <w:p w14:paraId="2B91AD3B" w14:textId="2CFE44EF" w:rsidR="00D84A5C" w:rsidRPr="008B5AD4" w:rsidRDefault="000B1D23" w:rsidP="00C9545A">
            <w:pPr>
              <w:pStyle w:val="Chart"/>
              <w:jc w:val="left"/>
            </w:pPr>
            <w:r>
              <w:t>(3)</w:t>
            </w:r>
          </w:p>
        </w:tc>
        <w:tc>
          <w:tcPr>
            <w:tcW w:w="9213" w:type="dxa"/>
            <w:shd w:val="clear" w:color="auto" w:fill="auto"/>
            <w:hideMark/>
          </w:tcPr>
          <w:p w14:paraId="0EAF7D50" w14:textId="77777777" w:rsidR="00D84A5C" w:rsidRPr="003E0A75" w:rsidRDefault="00D84A5C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3E0A75">
              <w:t xml:space="preserve">the 8 unit Diploma of Financial Planning </w:t>
            </w:r>
          </w:p>
        </w:tc>
      </w:tr>
    </w:tbl>
    <w:p w14:paraId="3EF97D90" w14:textId="77777777" w:rsidR="00980493" w:rsidRDefault="00980493" w:rsidP="00980493">
      <w:pPr>
        <w:pStyle w:val="Heading4"/>
      </w:pPr>
    </w:p>
    <w:p w14:paraId="50F3C336" w14:textId="05471A78" w:rsidR="00980493" w:rsidRDefault="00980493" w:rsidP="000B1D23">
      <w:pPr>
        <w:pStyle w:val="Heading4"/>
      </w:pPr>
      <w:r w:rsidRPr="008B5AD4">
        <w:t>Financial Services Institute of Australasia</w:t>
      </w:r>
      <w:r>
        <w:t xml:space="preserve"> </w:t>
      </w:r>
      <w:r w:rsidRPr="008B5AD4">
        <w:t>(formerly Securities Institute Australia)</w:t>
      </w:r>
    </w:p>
    <w:tbl>
      <w:tblPr>
        <w:tblW w:w="9654" w:type="dxa"/>
        <w:tblInd w:w="-15" w:type="dxa"/>
        <w:tblBorders>
          <w:insideH w:val="single" w:sz="4" w:space="0" w:color="D6D6D6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9073"/>
      </w:tblGrid>
      <w:tr w:rsidR="00980493" w:rsidRPr="00BA5832" w14:paraId="634B56CA" w14:textId="77777777" w:rsidTr="00C9545A">
        <w:trPr>
          <w:trHeight w:val="514"/>
        </w:trPr>
        <w:tc>
          <w:tcPr>
            <w:tcW w:w="581" w:type="dxa"/>
          </w:tcPr>
          <w:p w14:paraId="1AEEF841" w14:textId="26210EAF" w:rsidR="00980493" w:rsidRPr="00E10AD3" w:rsidRDefault="000B1D23" w:rsidP="00C9545A">
            <w:pPr>
              <w:pStyle w:val="Chart"/>
              <w:jc w:val="left"/>
            </w:pPr>
            <w:r>
              <w:t>(4)</w:t>
            </w:r>
          </w:p>
        </w:tc>
        <w:tc>
          <w:tcPr>
            <w:tcW w:w="9073" w:type="dxa"/>
            <w:shd w:val="clear" w:color="auto" w:fill="auto"/>
            <w:hideMark/>
          </w:tcPr>
          <w:p w14:paraId="5CB693A7" w14:textId="77777777" w:rsidR="00980493" w:rsidRPr="003E0A75" w:rsidRDefault="00980493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3E0A75">
              <w:t>the 8 unit Diploma of Financial Advising</w:t>
            </w:r>
          </w:p>
        </w:tc>
      </w:tr>
      <w:tr w:rsidR="00980493" w:rsidRPr="00BA5832" w14:paraId="3F791A81" w14:textId="77777777" w:rsidTr="00DE5593">
        <w:trPr>
          <w:trHeight w:val="559"/>
        </w:trPr>
        <w:tc>
          <w:tcPr>
            <w:tcW w:w="581" w:type="dxa"/>
          </w:tcPr>
          <w:p w14:paraId="5C4D7D84" w14:textId="7965DF9C" w:rsidR="00980493" w:rsidRPr="00E10AD3" w:rsidRDefault="000B1D23" w:rsidP="00C9545A">
            <w:pPr>
              <w:pStyle w:val="Chart"/>
              <w:jc w:val="left"/>
            </w:pPr>
            <w:r>
              <w:t>(5)</w:t>
            </w:r>
          </w:p>
        </w:tc>
        <w:tc>
          <w:tcPr>
            <w:tcW w:w="9073" w:type="dxa"/>
            <w:shd w:val="clear" w:color="auto" w:fill="auto"/>
            <w:hideMark/>
          </w:tcPr>
          <w:p w14:paraId="23D50DA4" w14:textId="77777777" w:rsidR="00980493" w:rsidRPr="003E0A75" w:rsidRDefault="00980493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3E0A75">
              <w:t>the 8 unit Diploma of Financial Markets</w:t>
            </w:r>
          </w:p>
        </w:tc>
      </w:tr>
      <w:tr w:rsidR="00980493" w:rsidRPr="00BA5832" w14:paraId="5B59C373" w14:textId="77777777" w:rsidTr="00C9545A">
        <w:trPr>
          <w:trHeight w:val="691"/>
        </w:trPr>
        <w:tc>
          <w:tcPr>
            <w:tcW w:w="581" w:type="dxa"/>
          </w:tcPr>
          <w:p w14:paraId="23FA9D1C" w14:textId="3A84527B" w:rsidR="00980493" w:rsidRDefault="000B1D23" w:rsidP="00C9545A">
            <w:pPr>
              <w:pStyle w:val="Chart"/>
              <w:jc w:val="left"/>
            </w:pPr>
            <w:r>
              <w:t>(6)</w:t>
            </w:r>
          </w:p>
        </w:tc>
        <w:tc>
          <w:tcPr>
            <w:tcW w:w="9073" w:type="dxa"/>
            <w:shd w:val="clear" w:color="auto" w:fill="auto"/>
          </w:tcPr>
          <w:p w14:paraId="6069F145" w14:textId="77777777" w:rsidR="00980493" w:rsidRPr="003E0A75" w:rsidRDefault="00980493" w:rsidP="00C9545A">
            <w:pPr>
              <w:pStyle w:val="Chart"/>
              <w:jc w:val="left"/>
            </w:pPr>
            <w:r w:rsidRPr="003E0A75">
              <w:t xml:space="preserve">the 8 unit Certificate in Financial Markets </w:t>
            </w:r>
            <w:r w:rsidRPr="003E0A75">
              <w:br/>
            </w:r>
            <w:r w:rsidRPr="003E0A75">
              <w:rPr>
                <w:i/>
                <w:iCs/>
                <w:sz w:val="18"/>
                <w:szCs w:val="18"/>
              </w:rPr>
              <w:t>where the units were completed between 1 January 1982 and 31 December 1990.</w:t>
            </w:r>
            <w:r w:rsidRPr="003E0A75">
              <w:rPr>
                <w:sz w:val="18"/>
                <w:szCs w:val="18"/>
              </w:rPr>
              <w:t> </w:t>
            </w:r>
          </w:p>
        </w:tc>
      </w:tr>
    </w:tbl>
    <w:p w14:paraId="1A745278" w14:textId="77777777" w:rsidR="004276F4" w:rsidRPr="004276F4" w:rsidRDefault="004276F4" w:rsidP="004276F4"/>
    <w:p w14:paraId="68B208D5" w14:textId="77777777" w:rsidR="004276F4" w:rsidRPr="004276F4" w:rsidRDefault="004276F4" w:rsidP="004276F4"/>
    <w:p w14:paraId="5B3D5140" w14:textId="77777777" w:rsidR="004F5700" w:rsidRDefault="004F5700" w:rsidP="008B5AD4"/>
    <w:p w14:paraId="237477B2" w14:textId="77777777" w:rsidR="004F5700" w:rsidRDefault="004F5700">
      <w:pPr>
        <w:spacing w:before="0" w:after="0"/>
      </w:pPr>
      <w:r>
        <w:br w:type="page"/>
      </w:r>
    </w:p>
    <w:p w14:paraId="6B8F6296" w14:textId="1EEC68D6" w:rsidR="008B5AD4" w:rsidRDefault="004F5700" w:rsidP="004F5700">
      <w:pPr>
        <w:pStyle w:val="Heading1"/>
      </w:pPr>
      <w:r>
        <w:lastRenderedPageBreak/>
        <w:t>Approved Professional Designations</w:t>
      </w:r>
    </w:p>
    <w:p w14:paraId="773CF0E6" w14:textId="77777777" w:rsidR="00173D97" w:rsidRDefault="00173D97" w:rsidP="00173D97">
      <w:pPr>
        <w:pStyle w:val="Heading4"/>
      </w:pPr>
      <w:r>
        <w:t>Association of Financial Advisers</w:t>
      </w:r>
    </w:p>
    <w:tbl>
      <w:tblPr>
        <w:tblW w:w="9654" w:type="dxa"/>
        <w:tblInd w:w="-15" w:type="dxa"/>
        <w:tblBorders>
          <w:insideH w:val="single" w:sz="4" w:space="0" w:color="D6D6D6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173D97" w:rsidRPr="00BA5832" w14:paraId="63258684" w14:textId="77777777" w:rsidTr="001A11F4">
        <w:trPr>
          <w:trHeight w:val="514"/>
        </w:trPr>
        <w:tc>
          <w:tcPr>
            <w:tcW w:w="581" w:type="dxa"/>
          </w:tcPr>
          <w:p w14:paraId="77F2A954" w14:textId="0B6D5AE5" w:rsidR="00173D97" w:rsidRPr="00E10AD3" w:rsidRDefault="00173D97" w:rsidP="00C9545A">
            <w:pPr>
              <w:pStyle w:val="Chart"/>
              <w:jc w:val="left"/>
            </w:pPr>
            <w:r>
              <w:t>(1)</w:t>
            </w:r>
          </w:p>
        </w:tc>
        <w:tc>
          <w:tcPr>
            <w:tcW w:w="5104" w:type="dxa"/>
            <w:shd w:val="clear" w:color="auto" w:fill="auto"/>
            <w:hideMark/>
          </w:tcPr>
          <w:p w14:paraId="3356EC6F" w14:textId="514F2EA3" w:rsidR="00173D97" w:rsidRPr="003E0A75" w:rsidRDefault="00173D97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7C1A74">
              <w:t>Chartered Life Practitioner</w:t>
            </w:r>
            <w:r w:rsidR="009C3C55">
              <w:br/>
            </w:r>
            <w:r w:rsidR="009C3C55">
              <w:rPr>
                <w:rFonts w:cs="Segoe UI"/>
              </w:rPr>
              <w:t>(offered by Mentor Education)</w:t>
            </w:r>
          </w:p>
        </w:tc>
        <w:tc>
          <w:tcPr>
            <w:tcW w:w="3969" w:type="dxa"/>
          </w:tcPr>
          <w:p w14:paraId="28B92DFA" w14:textId="77777777" w:rsidR="00173D97" w:rsidRPr="00BA5832" w:rsidRDefault="00173D97" w:rsidP="00C9545A">
            <w:pPr>
              <w:pStyle w:val="Chart"/>
              <w:jc w:val="left"/>
            </w:pPr>
            <w:r w:rsidRPr="007C1A74">
              <w:t>Commenced between 2009 and 2013</w:t>
            </w:r>
          </w:p>
        </w:tc>
      </w:tr>
      <w:tr w:rsidR="00173D97" w:rsidRPr="00BA5832" w14:paraId="764C409C" w14:textId="77777777" w:rsidTr="001A11F4">
        <w:trPr>
          <w:trHeight w:val="691"/>
        </w:trPr>
        <w:tc>
          <w:tcPr>
            <w:tcW w:w="581" w:type="dxa"/>
          </w:tcPr>
          <w:p w14:paraId="31A666B9" w14:textId="77777777" w:rsidR="00173D97" w:rsidRPr="00E10AD3" w:rsidRDefault="00173D97" w:rsidP="00C9545A">
            <w:pPr>
              <w:pStyle w:val="Chart"/>
              <w:jc w:val="left"/>
            </w:pPr>
            <w:r>
              <w:t>(2)</w:t>
            </w:r>
          </w:p>
        </w:tc>
        <w:tc>
          <w:tcPr>
            <w:tcW w:w="5104" w:type="dxa"/>
            <w:shd w:val="clear" w:color="auto" w:fill="auto"/>
            <w:hideMark/>
          </w:tcPr>
          <w:p w14:paraId="57BF88D8" w14:textId="34043978" w:rsidR="00173D97" w:rsidRPr="003E0A75" w:rsidRDefault="00173D97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7C1A74">
              <w:t>Fellow Chartered Financial Practitioner</w:t>
            </w:r>
            <w:r>
              <w:br/>
            </w:r>
            <w:r>
              <w:rPr>
                <w:rFonts w:cs="Segoe UI"/>
              </w:rPr>
              <w:t>(</w:t>
            </w:r>
            <w:r w:rsidR="009C3C55">
              <w:rPr>
                <w:rFonts w:cs="Segoe UI"/>
              </w:rPr>
              <w:t>offered by</w:t>
            </w:r>
            <w:r>
              <w:rPr>
                <w:rFonts w:cs="Segoe UI"/>
              </w:rPr>
              <w:t xml:space="preserve"> Mentor Education)</w:t>
            </w:r>
          </w:p>
        </w:tc>
        <w:tc>
          <w:tcPr>
            <w:tcW w:w="3969" w:type="dxa"/>
          </w:tcPr>
          <w:p w14:paraId="69F1A4CD" w14:textId="77777777" w:rsidR="00173D97" w:rsidRPr="00BA5832" w:rsidRDefault="00173D97" w:rsidP="00C9545A">
            <w:pPr>
              <w:pStyle w:val="Chart"/>
              <w:jc w:val="left"/>
            </w:pPr>
            <w:r w:rsidRPr="007C1A74">
              <w:t>Commenced between 2009 and 2013</w:t>
            </w:r>
          </w:p>
        </w:tc>
      </w:tr>
      <w:tr w:rsidR="00173D97" w:rsidRPr="00BA5832" w14:paraId="7BD83FDF" w14:textId="77777777" w:rsidTr="001A11F4">
        <w:trPr>
          <w:trHeight w:val="725"/>
        </w:trPr>
        <w:tc>
          <w:tcPr>
            <w:tcW w:w="581" w:type="dxa"/>
          </w:tcPr>
          <w:p w14:paraId="66578F57" w14:textId="77777777" w:rsidR="00173D97" w:rsidRPr="00E10AD3" w:rsidRDefault="00173D97" w:rsidP="00C9545A">
            <w:pPr>
              <w:pStyle w:val="Chart"/>
              <w:jc w:val="left"/>
            </w:pPr>
            <w:r>
              <w:t>(3)</w:t>
            </w:r>
          </w:p>
        </w:tc>
        <w:tc>
          <w:tcPr>
            <w:tcW w:w="5104" w:type="dxa"/>
            <w:shd w:val="clear" w:color="auto" w:fill="auto"/>
            <w:hideMark/>
          </w:tcPr>
          <w:p w14:paraId="4822E162" w14:textId="77777777" w:rsidR="00173D97" w:rsidRDefault="00173D97" w:rsidP="00C9545A">
            <w:pPr>
              <w:pStyle w:val="Chart"/>
              <w:jc w:val="left"/>
            </w:pPr>
            <w:r>
              <w:t>Completed all the following as part of the Fellow Chartered Financial Practitioner:</w:t>
            </w:r>
          </w:p>
          <w:p w14:paraId="080AF384" w14:textId="13E64A0B" w:rsidR="00173D97" w:rsidRPr="00E227F4" w:rsidRDefault="00173D97" w:rsidP="00E227F4">
            <w:pPr>
              <w:pStyle w:val="Chart"/>
              <w:ind w:left="430"/>
              <w:jc w:val="left"/>
              <w:rPr>
                <w:sz w:val="16"/>
                <w:szCs w:val="16"/>
              </w:rPr>
            </w:pPr>
            <w:r w:rsidRPr="007C1A74">
              <w:rPr>
                <w:sz w:val="16"/>
                <w:szCs w:val="16"/>
              </w:rPr>
              <w:t>AFA 1—Business Strategy for Financial Advisers</w:t>
            </w:r>
            <w:r w:rsidR="00E227F4">
              <w:rPr>
                <w:sz w:val="16"/>
                <w:szCs w:val="16"/>
              </w:rPr>
              <w:br/>
            </w:r>
            <w:r w:rsidRPr="007C1A74">
              <w:rPr>
                <w:sz w:val="16"/>
                <w:szCs w:val="16"/>
              </w:rPr>
              <w:t>AFA 2—Client Experience Strategy</w:t>
            </w:r>
            <w:r w:rsidR="00E227F4">
              <w:rPr>
                <w:sz w:val="16"/>
                <w:szCs w:val="16"/>
              </w:rPr>
              <w:br/>
            </w:r>
            <w:r w:rsidRPr="007C1A74">
              <w:rPr>
                <w:sz w:val="16"/>
                <w:szCs w:val="16"/>
              </w:rPr>
              <w:t>AFA 3—Advanced Advice Solutions</w:t>
            </w:r>
            <w:r w:rsidR="00E227F4">
              <w:rPr>
                <w:sz w:val="16"/>
                <w:szCs w:val="16"/>
              </w:rPr>
              <w:br/>
            </w:r>
            <w:r w:rsidRPr="007C1A74">
              <w:rPr>
                <w:sz w:val="16"/>
                <w:szCs w:val="16"/>
              </w:rPr>
              <w:t>AFA 4—Professional Conduct &amp; Governance for Financial Advisers</w:t>
            </w:r>
          </w:p>
        </w:tc>
        <w:tc>
          <w:tcPr>
            <w:tcW w:w="3969" w:type="dxa"/>
          </w:tcPr>
          <w:p w14:paraId="272CC6ED" w14:textId="77777777" w:rsidR="00173D97" w:rsidRPr="00BA5832" w:rsidRDefault="00173D97" w:rsidP="00C9545A">
            <w:pPr>
              <w:pStyle w:val="Chart"/>
              <w:jc w:val="left"/>
            </w:pPr>
            <w:r w:rsidRPr="007C1A74">
              <w:t>Completed after 2013</w:t>
            </w:r>
          </w:p>
        </w:tc>
      </w:tr>
      <w:tr w:rsidR="00173D97" w:rsidRPr="00BA5832" w14:paraId="4698F43A" w14:textId="77777777" w:rsidTr="001A11F4">
        <w:trPr>
          <w:trHeight w:val="725"/>
        </w:trPr>
        <w:tc>
          <w:tcPr>
            <w:tcW w:w="581" w:type="dxa"/>
          </w:tcPr>
          <w:p w14:paraId="32173CAF" w14:textId="4BB83206" w:rsidR="00173D97" w:rsidRDefault="00E227F4" w:rsidP="00C9545A">
            <w:pPr>
              <w:pStyle w:val="Chart"/>
              <w:jc w:val="left"/>
            </w:pPr>
            <w:r>
              <w:t>(4)</w:t>
            </w:r>
          </w:p>
        </w:tc>
        <w:tc>
          <w:tcPr>
            <w:tcW w:w="5104" w:type="dxa"/>
            <w:shd w:val="clear" w:color="auto" w:fill="auto"/>
          </w:tcPr>
          <w:p w14:paraId="407FC3FD" w14:textId="77777777" w:rsidR="00173D97" w:rsidRDefault="00173D97" w:rsidP="00C9545A">
            <w:pPr>
              <w:pStyle w:val="Chart"/>
              <w:jc w:val="left"/>
            </w:pPr>
            <w:r>
              <w:t>Completed all the following as part of the Chartered Life Practitioner:</w:t>
            </w:r>
          </w:p>
          <w:p w14:paraId="53E97CB9" w14:textId="21450A87" w:rsidR="00173D97" w:rsidRDefault="00173D97" w:rsidP="00E227F4">
            <w:pPr>
              <w:pStyle w:val="Chart"/>
              <w:ind w:left="430"/>
              <w:jc w:val="left"/>
            </w:pPr>
            <w:r w:rsidRPr="007C1A74">
              <w:rPr>
                <w:sz w:val="16"/>
                <w:szCs w:val="16"/>
              </w:rPr>
              <w:t>AFA 1—Business Strategy for Financial Advisers</w:t>
            </w:r>
            <w:r w:rsidR="00E227F4">
              <w:rPr>
                <w:sz w:val="16"/>
                <w:szCs w:val="16"/>
              </w:rPr>
              <w:br/>
            </w:r>
            <w:r w:rsidRPr="007C1A74">
              <w:rPr>
                <w:sz w:val="16"/>
                <w:szCs w:val="16"/>
              </w:rPr>
              <w:t>AFA 2—Client Experience Strategy</w:t>
            </w:r>
            <w:r w:rsidR="00E227F4">
              <w:rPr>
                <w:sz w:val="16"/>
                <w:szCs w:val="16"/>
              </w:rPr>
              <w:br/>
            </w:r>
            <w:r w:rsidRPr="007C1A74">
              <w:rPr>
                <w:sz w:val="16"/>
                <w:szCs w:val="16"/>
              </w:rPr>
              <w:t>AFA 3—Advanced Risk Solutions</w:t>
            </w:r>
            <w:r w:rsidR="00E227F4">
              <w:rPr>
                <w:sz w:val="16"/>
                <w:szCs w:val="16"/>
              </w:rPr>
              <w:br/>
            </w:r>
            <w:r w:rsidRPr="007C1A74">
              <w:rPr>
                <w:sz w:val="16"/>
                <w:szCs w:val="16"/>
              </w:rPr>
              <w:t>AFA 4—Professional Conduct &amp; Governance for Financial Advisers</w:t>
            </w:r>
          </w:p>
        </w:tc>
        <w:tc>
          <w:tcPr>
            <w:tcW w:w="3969" w:type="dxa"/>
          </w:tcPr>
          <w:p w14:paraId="3F62A677" w14:textId="77777777" w:rsidR="00173D97" w:rsidRPr="007C1A74" w:rsidRDefault="00173D97" w:rsidP="00C9545A">
            <w:pPr>
              <w:pStyle w:val="Chart"/>
              <w:jc w:val="left"/>
            </w:pPr>
            <w:r w:rsidRPr="007C1A74">
              <w:t>Completed after 2013</w:t>
            </w:r>
          </w:p>
        </w:tc>
      </w:tr>
    </w:tbl>
    <w:p w14:paraId="7E6214E0" w14:textId="77777777" w:rsidR="00173D97" w:rsidRDefault="00173D97" w:rsidP="00BA5832">
      <w:pPr>
        <w:pStyle w:val="Heading4"/>
      </w:pPr>
    </w:p>
    <w:p w14:paraId="6E7E8DBD" w14:textId="6B0C4609" w:rsidR="00BA5832" w:rsidRDefault="00BA5832" w:rsidP="00BA5832">
      <w:pPr>
        <w:pStyle w:val="Heading4"/>
      </w:pPr>
      <w:r>
        <w:t>Certified Public Accountants of Australia</w:t>
      </w:r>
    </w:p>
    <w:tbl>
      <w:tblPr>
        <w:tblW w:w="9654" w:type="dxa"/>
        <w:tblInd w:w="-15" w:type="dxa"/>
        <w:tblBorders>
          <w:insideH w:val="single" w:sz="4" w:space="0" w:color="D6D6D6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BA5832" w:rsidRPr="00BA5832" w14:paraId="67AEF520" w14:textId="77777777" w:rsidTr="001A11F4">
        <w:trPr>
          <w:trHeight w:val="703"/>
        </w:trPr>
        <w:tc>
          <w:tcPr>
            <w:tcW w:w="581" w:type="dxa"/>
          </w:tcPr>
          <w:p w14:paraId="0AA29F65" w14:textId="2BD2D043" w:rsidR="00BA5832" w:rsidRPr="00E10AD3" w:rsidRDefault="00BA5832" w:rsidP="00C9545A">
            <w:pPr>
              <w:pStyle w:val="Chart"/>
              <w:jc w:val="left"/>
            </w:pPr>
            <w:r>
              <w:t>(</w:t>
            </w:r>
            <w:r w:rsidR="00E227F4">
              <w:t>5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1BC9A65B" w14:textId="77777777" w:rsidR="00BA5832" w:rsidRPr="003E0A75" w:rsidRDefault="00BA5832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E10AD3">
              <w:t xml:space="preserve">Certified Practicing Accountants </w:t>
            </w:r>
            <w:r>
              <w:br/>
            </w:r>
            <w:r w:rsidRPr="00E10AD3">
              <w:t xml:space="preserve">Program </w:t>
            </w:r>
          </w:p>
        </w:tc>
        <w:tc>
          <w:tcPr>
            <w:tcW w:w="3969" w:type="dxa"/>
          </w:tcPr>
          <w:p w14:paraId="6BB05B64" w14:textId="77777777" w:rsidR="00BA5832" w:rsidRPr="00BA5832" w:rsidRDefault="00BA5832" w:rsidP="00C9545A">
            <w:pPr>
              <w:pStyle w:val="Chart"/>
              <w:jc w:val="left"/>
            </w:pPr>
            <w:r w:rsidRPr="00BA5832">
              <w:t>Completed during or after 1989</w:t>
            </w:r>
          </w:p>
        </w:tc>
      </w:tr>
      <w:tr w:rsidR="00BA5832" w:rsidRPr="00BA5832" w14:paraId="35E43CC2" w14:textId="77777777" w:rsidTr="001A11F4">
        <w:trPr>
          <w:trHeight w:val="691"/>
        </w:trPr>
        <w:tc>
          <w:tcPr>
            <w:tcW w:w="581" w:type="dxa"/>
          </w:tcPr>
          <w:p w14:paraId="3DFEB8BF" w14:textId="60C07C51" w:rsidR="00BA5832" w:rsidRPr="00E10AD3" w:rsidRDefault="00BA5832" w:rsidP="00C9545A">
            <w:pPr>
              <w:pStyle w:val="Chart"/>
              <w:jc w:val="left"/>
            </w:pPr>
            <w:r>
              <w:t>(</w:t>
            </w:r>
            <w:r w:rsidR="00E227F4">
              <w:t>6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70025558" w14:textId="16B8081B" w:rsidR="00BA5832" w:rsidRPr="003E0A75" w:rsidRDefault="001D3765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1D3765">
              <w:t>Certified Practicing Accountants Associate Designation Program</w:t>
            </w:r>
          </w:p>
        </w:tc>
        <w:tc>
          <w:tcPr>
            <w:tcW w:w="3969" w:type="dxa"/>
          </w:tcPr>
          <w:p w14:paraId="6B04E579" w14:textId="78A6835E" w:rsidR="00BA5832" w:rsidRPr="00BA5832" w:rsidRDefault="001D3765" w:rsidP="00C9545A">
            <w:pPr>
              <w:pStyle w:val="Chart"/>
              <w:jc w:val="left"/>
            </w:pPr>
            <w:r w:rsidRPr="001D3765">
              <w:t>Completed between 1985 and 1988</w:t>
            </w:r>
          </w:p>
        </w:tc>
      </w:tr>
      <w:tr w:rsidR="00BA5832" w:rsidRPr="00BA5832" w14:paraId="4E3CE8EF" w14:textId="77777777" w:rsidTr="001A11F4">
        <w:trPr>
          <w:trHeight w:val="725"/>
        </w:trPr>
        <w:tc>
          <w:tcPr>
            <w:tcW w:w="581" w:type="dxa"/>
          </w:tcPr>
          <w:p w14:paraId="0FFBA43D" w14:textId="6BCE5A36" w:rsidR="00BA5832" w:rsidRPr="00E10AD3" w:rsidRDefault="00BA5832" w:rsidP="00C9545A">
            <w:pPr>
              <w:pStyle w:val="Chart"/>
              <w:jc w:val="left"/>
            </w:pPr>
            <w:r>
              <w:t>(</w:t>
            </w:r>
            <w:r w:rsidR="00E227F4">
              <w:t>7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419973FC" w14:textId="77777777" w:rsidR="001D3765" w:rsidRPr="001D3765" w:rsidRDefault="001D3765" w:rsidP="001D3765">
            <w:pPr>
              <w:pStyle w:val="Chart"/>
              <w:jc w:val="left"/>
            </w:pPr>
            <w:r w:rsidRPr="001D3765">
              <w:t>Completed the Certified Practising Accountants Program, including completing one of the following electives:</w:t>
            </w:r>
          </w:p>
          <w:p w14:paraId="43D86FC2" w14:textId="0B847DF1" w:rsidR="00BA5832" w:rsidRPr="003E0A75" w:rsidRDefault="001D3765" w:rsidP="00E227F4">
            <w:pPr>
              <w:pStyle w:val="Chart"/>
              <w:ind w:left="430"/>
              <w:jc w:val="left"/>
              <w:rPr>
                <w:rFonts w:ascii="Segoe UI" w:hAnsi="Segoe UI" w:cs="Segoe UI"/>
              </w:rPr>
            </w:pPr>
            <w:r w:rsidRPr="001D3765">
              <w:rPr>
                <w:sz w:val="16"/>
                <w:szCs w:val="16"/>
              </w:rPr>
              <w:t>Personal Financial Planning and Superannuation</w:t>
            </w:r>
            <w:r w:rsidR="00E227F4">
              <w:rPr>
                <w:sz w:val="16"/>
                <w:szCs w:val="16"/>
              </w:rPr>
              <w:br/>
            </w:r>
            <w:r w:rsidRPr="001D3765">
              <w:rPr>
                <w:sz w:val="16"/>
                <w:szCs w:val="16"/>
              </w:rPr>
              <w:t>Financial Planning Fundamentals</w:t>
            </w:r>
            <w:r w:rsidR="00E227F4">
              <w:rPr>
                <w:sz w:val="16"/>
                <w:szCs w:val="16"/>
              </w:rPr>
              <w:br/>
            </w:r>
            <w:r w:rsidRPr="001D3765">
              <w:rPr>
                <w:sz w:val="16"/>
                <w:szCs w:val="16"/>
              </w:rPr>
              <w:t>Superannuation and Retirement Planning</w:t>
            </w:r>
            <w:r w:rsidR="00E227F4">
              <w:rPr>
                <w:sz w:val="16"/>
                <w:szCs w:val="16"/>
              </w:rPr>
              <w:br/>
            </w:r>
            <w:r w:rsidRPr="001D3765">
              <w:rPr>
                <w:sz w:val="16"/>
                <w:szCs w:val="16"/>
              </w:rPr>
              <w:t>Investment Strategies</w:t>
            </w:r>
            <w:r w:rsidR="00E227F4">
              <w:rPr>
                <w:sz w:val="16"/>
                <w:szCs w:val="16"/>
              </w:rPr>
              <w:br/>
            </w:r>
            <w:r w:rsidRPr="001D3765">
              <w:rPr>
                <w:sz w:val="16"/>
                <w:szCs w:val="16"/>
              </w:rPr>
              <w:t>Risk Advice and Insurance</w:t>
            </w:r>
            <w:r w:rsidR="00E227F4">
              <w:rPr>
                <w:sz w:val="16"/>
                <w:szCs w:val="16"/>
              </w:rPr>
              <w:br/>
            </w:r>
            <w:r w:rsidRPr="007C1A74">
              <w:rPr>
                <w:sz w:val="16"/>
                <w:szCs w:val="16"/>
              </w:rPr>
              <w:t>Financial Risk Management</w:t>
            </w:r>
          </w:p>
        </w:tc>
        <w:tc>
          <w:tcPr>
            <w:tcW w:w="3969" w:type="dxa"/>
          </w:tcPr>
          <w:p w14:paraId="10F626D8" w14:textId="146679B1" w:rsidR="00BA5832" w:rsidRPr="00BA5832" w:rsidRDefault="001D3765" w:rsidP="00C9545A">
            <w:pPr>
              <w:pStyle w:val="Chart"/>
              <w:jc w:val="left"/>
            </w:pPr>
            <w:r w:rsidRPr="001D3765">
              <w:t>Completed during or after 1989</w:t>
            </w:r>
          </w:p>
        </w:tc>
      </w:tr>
    </w:tbl>
    <w:p w14:paraId="3418A1AC" w14:textId="77777777" w:rsidR="007C1A74" w:rsidRDefault="007C1A74" w:rsidP="007C1A74">
      <w:pPr>
        <w:pStyle w:val="Heading4"/>
      </w:pPr>
    </w:p>
    <w:p w14:paraId="6664C7CC" w14:textId="77777777" w:rsidR="008E31D1" w:rsidRDefault="008E31D1" w:rsidP="008E31D1">
      <w:pPr>
        <w:pStyle w:val="Heading4"/>
      </w:pPr>
      <w:r w:rsidRPr="008E31D1">
        <w:t>CFA Institute</w:t>
      </w: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8E31D1" w:rsidRPr="00BA5832" w14:paraId="5C80E583" w14:textId="77777777" w:rsidTr="00C9545A">
        <w:trPr>
          <w:trHeight w:val="483"/>
        </w:trPr>
        <w:tc>
          <w:tcPr>
            <w:tcW w:w="581" w:type="dxa"/>
          </w:tcPr>
          <w:p w14:paraId="4351D555" w14:textId="2C750A91" w:rsidR="008E31D1" w:rsidRPr="00E10AD3" w:rsidRDefault="008E31D1" w:rsidP="00C9545A">
            <w:pPr>
              <w:pStyle w:val="Chart"/>
              <w:jc w:val="left"/>
            </w:pPr>
            <w:r>
              <w:t>(</w:t>
            </w:r>
            <w:r w:rsidR="00E227F4">
              <w:t>8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3571F58C" w14:textId="77777777" w:rsidR="008E31D1" w:rsidRPr="003E0A75" w:rsidRDefault="008E31D1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8E31D1">
              <w:t>Chartered Financial Analyst Program</w:t>
            </w:r>
          </w:p>
        </w:tc>
        <w:tc>
          <w:tcPr>
            <w:tcW w:w="3969" w:type="dxa"/>
          </w:tcPr>
          <w:p w14:paraId="6FE5C343" w14:textId="20FC5BF6" w:rsidR="008E31D1" w:rsidRPr="00BA5832" w:rsidRDefault="008E31D1" w:rsidP="00C9545A">
            <w:pPr>
              <w:pStyle w:val="Chart"/>
              <w:jc w:val="left"/>
            </w:pPr>
            <w:r w:rsidRPr="008E31D1">
              <w:t>Anytime</w:t>
            </w:r>
          </w:p>
        </w:tc>
      </w:tr>
    </w:tbl>
    <w:p w14:paraId="73EC89AE" w14:textId="77777777" w:rsidR="008E31D1" w:rsidRDefault="008E31D1" w:rsidP="00173D97">
      <w:pPr>
        <w:pStyle w:val="Heading4"/>
      </w:pPr>
    </w:p>
    <w:p w14:paraId="1CF803A9" w14:textId="33C6FD34" w:rsidR="007C1A74" w:rsidRDefault="00173D97" w:rsidP="00173D97">
      <w:pPr>
        <w:pStyle w:val="Heading4"/>
      </w:pPr>
      <w:r w:rsidRPr="00173D97">
        <w:t>Chartered Accountants Australia and New Zealand</w:t>
      </w: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173D97" w:rsidRPr="00BA5832" w14:paraId="489C1DC7" w14:textId="77777777" w:rsidTr="00173D97">
        <w:trPr>
          <w:trHeight w:val="483"/>
        </w:trPr>
        <w:tc>
          <w:tcPr>
            <w:tcW w:w="581" w:type="dxa"/>
          </w:tcPr>
          <w:p w14:paraId="3C108579" w14:textId="446990A9" w:rsidR="00173D97" w:rsidRPr="00E10AD3" w:rsidRDefault="00173D97" w:rsidP="00C9545A">
            <w:pPr>
              <w:pStyle w:val="Chart"/>
              <w:jc w:val="left"/>
            </w:pPr>
            <w:r>
              <w:t>(</w:t>
            </w:r>
            <w:r w:rsidR="00E227F4">
              <w:t>9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60DD4AEC" w14:textId="038309EB" w:rsidR="00173D97" w:rsidRPr="003E0A75" w:rsidRDefault="00173D97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173D97">
              <w:t>Chartered Accountant Program</w:t>
            </w:r>
          </w:p>
        </w:tc>
        <w:tc>
          <w:tcPr>
            <w:tcW w:w="3969" w:type="dxa"/>
          </w:tcPr>
          <w:p w14:paraId="24902304" w14:textId="2164D132" w:rsidR="00173D97" w:rsidRPr="00BA5832" w:rsidRDefault="00173D97" w:rsidP="00C9545A">
            <w:pPr>
              <w:pStyle w:val="Chart"/>
              <w:jc w:val="left"/>
            </w:pPr>
            <w:r w:rsidRPr="00173D97">
              <w:t>Completed during or after 1972</w:t>
            </w:r>
          </w:p>
        </w:tc>
      </w:tr>
    </w:tbl>
    <w:p w14:paraId="2CBDBE6C" w14:textId="77777777" w:rsidR="00173D97" w:rsidRDefault="00173D97">
      <w:pPr>
        <w:spacing w:before="0" w:after="0"/>
      </w:pPr>
      <w:r>
        <w:br w:type="page"/>
      </w:r>
    </w:p>
    <w:p w14:paraId="3EA48AD0" w14:textId="38C84DD4" w:rsidR="00BA5832" w:rsidRDefault="00BA5832">
      <w:pPr>
        <w:spacing w:before="0" w:after="0"/>
      </w:pPr>
    </w:p>
    <w:p w14:paraId="7D55DCF7" w14:textId="5851F813" w:rsidR="004F5700" w:rsidRDefault="00173D97" w:rsidP="00173D97">
      <w:pPr>
        <w:pStyle w:val="Heading4"/>
      </w:pPr>
      <w:r>
        <w:t>Financial Planning Association of Australia</w:t>
      </w:r>
    </w:p>
    <w:tbl>
      <w:tblPr>
        <w:tblW w:w="9654" w:type="dxa"/>
        <w:tblInd w:w="-15" w:type="dxa"/>
        <w:tblBorders>
          <w:insideH w:val="single" w:sz="4" w:space="0" w:color="D6D6D6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173D97" w:rsidRPr="00BA5832" w14:paraId="386F9EF6" w14:textId="77777777" w:rsidTr="001A11F4">
        <w:trPr>
          <w:trHeight w:val="552"/>
        </w:trPr>
        <w:tc>
          <w:tcPr>
            <w:tcW w:w="581" w:type="dxa"/>
          </w:tcPr>
          <w:p w14:paraId="55376ACC" w14:textId="52EA5D00" w:rsidR="00173D97" w:rsidRPr="00E10AD3" w:rsidRDefault="00173D97" w:rsidP="00173D97">
            <w:pPr>
              <w:pStyle w:val="Chart"/>
              <w:jc w:val="left"/>
            </w:pPr>
            <w:r>
              <w:t>(1</w:t>
            </w:r>
            <w:r w:rsidR="00E227F4">
              <w:t>0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4A08E794" w14:textId="39854C45" w:rsidR="00173D97" w:rsidRPr="003E0A75" w:rsidRDefault="00173D97" w:rsidP="00173D97">
            <w:pPr>
              <w:pStyle w:val="Chart"/>
              <w:jc w:val="left"/>
              <w:rPr>
                <w:rFonts w:ascii="Segoe UI" w:hAnsi="Segoe UI" w:cs="Segoe UI"/>
              </w:rPr>
            </w:pPr>
            <w:r w:rsidRPr="00AE3CA8">
              <w:t>Life Risk Specialist</w:t>
            </w:r>
          </w:p>
        </w:tc>
        <w:tc>
          <w:tcPr>
            <w:tcW w:w="3969" w:type="dxa"/>
          </w:tcPr>
          <w:p w14:paraId="52A8FFF1" w14:textId="0F39DBEF" w:rsidR="00173D97" w:rsidRPr="00BA5832" w:rsidRDefault="00173D97" w:rsidP="00173D97">
            <w:pPr>
              <w:pStyle w:val="Chart"/>
              <w:jc w:val="left"/>
            </w:pPr>
            <w:r w:rsidRPr="00DF56DB">
              <w:t>Completed between 2009 and 2018</w:t>
            </w:r>
          </w:p>
        </w:tc>
      </w:tr>
      <w:tr w:rsidR="00173D97" w:rsidRPr="00BA5832" w14:paraId="0D62E7ED" w14:textId="77777777" w:rsidTr="001A11F4">
        <w:trPr>
          <w:trHeight w:val="562"/>
        </w:trPr>
        <w:tc>
          <w:tcPr>
            <w:tcW w:w="581" w:type="dxa"/>
          </w:tcPr>
          <w:p w14:paraId="2D32181D" w14:textId="454CF147" w:rsidR="00173D97" w:rsidRPr="00E10AD3" w:rsidRDefault="00173D97" w:rsidP="00173D97">
            <w:pPr>
              <w:pStyle w:val="Chart"/>
              <w:jc w:val="left"/>
            </w:pPr>
            <w:r>
              <w:t>(</w:t>
            </w:r>
            <w:r w:rsidR="00E227F4">
              <w:t>11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75D3D4B8" w14:textId="2C4C9D43" w:rsidR="00173D97" w:rsidRPr="003E0A75" w:rsidRDefault="00173D97" w:rsidP="00173D97">
            <w:pPr>
              <w:pStyle w:val="Chart"/>
              <w:jc w:val="left"/>
              <w:rPr>
                <w:rFonts w:ascii="Segoe UI" w:hAnsi="Segoe UI" w:cs="Segoe UI"/>
              </w:rPr>
            </w:pPr>
            <w:r w:rsidRPr="00AE3CA8">
              <w:t>Accredited Estate Planning strategists</w:t>
            </w:r>
          </w:p>
        </w:tc>
        <w:tc>
          <w:tcPr>
            <w:tcW w:w="3969" w:type="dxa"/>
          </w:tcPr>
          <w:p w14:paraId="5A947BEC" w14:textId="3E1911E8" w:rsidR="00173D97" w:rsidRPr="00BA5832" w:rsidRDefault="00173D97" w:rsidP="00173D97">
            <w:pPr>
              <w:pStyle w:val="Chart"/>
              <w:jc w:val="left"/>
            </w:pPr>
            <w:r w:rsidRPr="00DF56DB">
              <w:t>Completed between 2010 and 2013</w:t>
            </w:r>
          </w:p>
        </w:tc>
      </w:tr>
      <w:tr w:rsidR="00173D97" w:rsidRPr="00BA5832" w14:paraId="786CF762" w14:textId="77777777" w:rsidTr="001A11F4">
        <w:trPr>
          <w:trHeight w:val="725"/>
        </w:trPr>
        <w:tc>
          <w:tcPr>
            <w:tcW w:w="581" w:type="dxa"/>
          </w:tcPr>
          <w:p w14:paraId="266824C0" w14:textId="1EBAE7F3" w:rsidR="00173D97" w:rsidRPr="00E10AD3" w:rsidRDefault="00173D97" w:rsidP="00173D97">
            <w:pPr>
              <w:pStyle w:val="Chart"/>
              <w:jc w:val="left"/>
            </w:pPr>
            <w:r>
              <w:t>(</w:t>
            </w:r>
            <w:r w:rsidR="00E227F4">
              <w:t>12</w:t>
            </w:r>
            <w:r>
              <w:t>)</w:t>
            </w:r>
          </w:p>
        </w:tc>
        <w:tc>
          <w:tcPr>
            <w:tcW w:w="5104" w:type="dxa"/>
            <w:shd w:val="clear" w:color="auto" w:fill="auto"/>
            <w:hideMark/>
          </w:tcPr>
          <w:p w14:paraId="15EC34EC" w14:textId="77777777" w:rsidR="00173D97" w:rsidRPr="00173D97" w:rsidRDefault="00173D97" w:rsidP="00173D97">
            <w:pPr>
              <w:pStyle w:val="Chart"/>
              <w:jc w:val="left"/>
            </w:pPr>
            <w:r w:rsidRPr="00173D97">
              <w:t>Completed all the following as part of the 5 unit CFP Certification Program:</w:t>
            </w:r>
          </w:p>
          <w:p w14:paraId="6BA77F61" w14:textId="21B7070C" w:rsidR="00173D97" w:rsidRPr="00173D97" w:rsidRDefault="00173D97" w:rsidP="00173D97">
            <w:pPr>
              <w:pStyle w:val="Chart"/>
              <w:ind w:left="430"/>
              <w:jc w:val="left"/>
            </w:pPr>
            <w:r w:rsidRPr="00173D97">
              <w:rPr>
                <w:sz w:val="16"/>
                <w:szCs w:val="16"/>
              </w:rPr>
              <w:t>CFP1(A)—FPA Professionalism</w:t>
            </w:r>
            <w:r w:rsidRPr="00173D97">
              <w:rPr>
                <w:sz w:val="16"/>
                <w:szCs w:val="16"/>
              </w:rPr>
              <w:br/>
              <w:t>CFP2(A)—Applied Strategies 1</w:t>
            </w:r>
            <w:r w:rsidRPr="00173D97">
              <w:rPr>
                <w:sz w:val="16"/>
                <w:szCs w:val="16"/>
              </w:rPr>
              <w:br/>
              <w:t>CFP3(A)—Applied Strategies 2</w:t>
            </w:r>
            <w:r w:rsidRPr="00173D97">
              <w:rPr>
                <w:sz w:val="16"/>
                <w:szCs w:val="16"/>
              </w:rPr>
              <w:br/>
              <w:t>CFP4(A)—Investment Strategies</w:t>
            </w:r>
            <w:r w:rsidRPr="00173D97">
              <w:rPr>
                <w:sz w:val="16"/>
                <w:szCs w:val="16"/>
              </w:rPr>
              <w:br/>
              <w:t>CFPC—Certification</w:t>
            </w:r>
          </w:p>
        </w:tc>
        <w:tc>
          <w:tcPr>
            <w:tcW w:w="3969" w:type="dxa"/>
          </w:tcPr>
          <w:p w14:paraId="13CE9D15" w14:textId="6D2D260E" w:rsidR="00173D97" w:rsidRPr="00BA5832" w:rsidRDefault="00173D97" w:rsidP="00173D97">
            <w:pPr>
              <w:pStyle w:val="Chart"/>
              <w:jc w:val="left"/>
            </w:pPr>
            <w:r w:rsidRPr="00BD5A21">
              <w:t>Anytime</w:t>
            </w:r>
          </w:p>
        </w:tc>
      </w:tr>
      <w:tr w:rsidR="00173D97" w:rsidRPr="00BA5832" w14:paraId="66E72E72" w14:textId="77777777" w:rsidTr="001A11F4">
        <w:trPr>
          <w:trHeight w:val="725"/>
        </w:trPr>
        <w:tc>
          <w:tcPr>
            <w:tcW w:w="581" w:type="dxa"/>
          </w:tcPr>
          <w:p w14:paraId="075B52C1" w14:textId="709C7C03" w:rsidR="00173D97" w:rsidRDefault="00E227F4" w:rsidP="00173D97">
            <w:pPr>
              <w:pStyle w:val="Chart"/>
              <w:jc w:val="left"/>
            </w:pPr>
            <w:r>
              <w:t>(13)</w:t>
            </w:r>
          </w:p>
        </w:tc>
        <w:tc>
          <w:tcPr>
            <w:tcW w:w="5104" w:type="dxa"/>
            <w:shd w:val="clear" w:color="auto" w:fill="auto"/>
          </w:tcPr>
          <w:p w14:paraId="6844643F" w14:textId="040259AC" w:rsidR="00173D97" w:rsidRPr="00173D97" w:rsidRDefault="00173D97" w:rsidP="00173D97">
            <w:pPr>
              <w:pStyle w:val="Chart"/>
              <w:jc w:val="left"/>
            </w:pPr>
            <w:r w:rsidRPr="00173D97">
              <w:t xml:space="preserve">Completed all the following as part of the </w:t>
            </w:r>
            <w:r>
              <w:br/>
            </w:r>
            <w:r w:rsidRPr="00173D97">
              <w:t>CFP Certification 1-4 Program:</w:t>
            </w:r>
          </w:p>
          <w:p w14:paraId="7A78E77C" w14:textId="22C6C5EA" w:rsidR="00173D97" w:rsidRDefault="00173D97" w:rsidP="00173D97">
            <w:pPr>
              <w:pStyle w:val="Chart"/>
              <w:ind w:left="430"/>
              <w:jc w:val="left"/>
            </w:pPr>
            <w:r w:rsidRPr="00173D97">
              <w:rPr>
                <w:sz w:val="16"/>
                <w:szCs w:val="16"/>
              </w:rPr>
              <w:t>CFP 1—Professionalism, Ethics &amp; Compliance</w:t>
            </w:r>
            <w:r w:rsidRPr="00173D97">
              <w:rPr>
                <w:sz w:val="16"/>
                <w:szCs w:val="16"/>
              </w:rPr>
              <w:br/>
              <w:t>CFP 2—Comprehensive Financial Planning 1</w:t>
            </w:r>
            <w:r w:rsidRPr="00173D97">
              <w:rPr>
                <w:sz w:val="16"/>
                <w:szCs w:val="16"/>
              </w:rPr>
              <w:br/>
              <w:t>CFP 3—Comprehensive Financial Planning 2</w:t>
            </w:r>
            <w:r w:rsidRPr="00173D97">
              <w:rPr>
                <w:sz w:val="16"/>
                <w:szCs w:val="16"/>
              </w:rPr>
              <w:br/>
              <w:t>CFP 4—Practice Management</w:t>
            </w:r>
          </w:p>
        </w:tc>
        <w:tc>
          <w:tcPr>
            <w:tcW w:w="3969" w:type="dxa"/>
          </w:tcPr>
          <w:p w14:paraId="0B556A99" w14:textId="13CDF5F1" w:rsidR="00173D97" w:rsidRPr="007C1A74" w:rsidRDefault="00173D97" w:rsidP="00173D97">
            <w:pPr>
              <w:pStyle w:val="Chart"/>
              <w:jc w:val="left"/>
            </w:pPr>
            <w:r w:rsidRPr="00BD5A21">
              <w:t>Anytime</w:t>
            </w:r>
          </w:p>
        </w:tc>
      </w:tr>
    </w:tbl>
    <w:p w14:paraId="285DB86E" w14:textId="77777777" w:rsidR="00E227F4" w:rsidRDefault="00E227F4" w:rsidP="00E227F4">
      <w:pPr>
        <w:pStyle w:val="Heading4"/>
      </w:pPr>
    </w:p>
    <w:p w14:paraId="5BA6CF50" w14:textId="69CAE91C" w:rsidR="00173D97" w:rsidRDefault="00E227F4" w:rsidP="00E227F4">
      <w:pPr>
        <w:pStyle w:val="Heading4"/>
      </w:pPr>
      <w:r w:rsidRPr="00E227F4">
        <w:t>Portfolio Constructions Forum</w:t>
      </w: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E227F4" w:rsidRPr="00BA5832" w14:paraId="4C939495" w14:textId="77777777" w:rsidTr="00C9545A">
        <w:trPr>
          <w:trHeight w:val="483"/>
        </w:trPr>
        <w:tc>
          <w:tcPr>
            <w:tcW w:w="581" w:type="dxa"/>
          </w:tcPr>
          <w:p w14:paraId="60D175A8" w14:textId="7D1C5799" w:rsidR="00E227F4" w:rsidRPr="00E10AD3" w:rsidRDefault="00E227F4" w:rsidP="00E227F4">
            <w:pPr>
              <w:pStyle w:val="Chart"/>
              <w:jc w:val="left"/>
            </w:pPr>
            <w:r>
              <w:t>(14)</w:t>
            </w:r>
          </w:p>
        </w:tc>
        <w:tc>
          <w:tcPr>
            <w:tcW w:w="5104" w:type="dxa"/>
            <w:shd w:val="clear" w:color="auto" w:fill="auto"/>
            <w:hideMark/>
          </w:tcPr>
          <w:p w14:paraId="5E9B9D60" w14:textId="676302F8" w:rsidR="00E227F4" w:rsidRPr="003E0A75" w:rsidRDefault="00E227F4" w:rsidP="00E227F4">
            <w:pPr>
              <w:pStyle w:val="Chart"/>
              <w:jc w:val="left"/>
              <w:rPr>
                <w:rFonts w:ascii="Segoe UI" w:hAnsi="Segoe UI" w:cs="Segoe UI"/>
              </w:rPr>
            </w:pPr>
            <w:r w:rsidRPr="00E227F4">
              <w:t>Certified Investment Management Analyst Program</w:t>
            </w:r>
          </w:p>
        </w:tc>
        <w:tc>
          <w:tcPr>
            <w:tcW w:w="3969" w:type="dxa"/>
          </w:tcPr>
          <w:p w14:paraId="12F14292" w14:textId="3CC78A6D" w:rsidR="00E227F4" w:rsidRPr="00BA5832" w:rsidRDefault="00E227F4" w:rsidP="00E227F4">
            <w:pPr>
              <w:pStyle w:val="Chart"/>
              <w:jc w:val="left"/>
            </w:pPr>
            <w:r w:rsidRPr="00E227F4">
              <w:t>Completed during or after 2001</w:t>
            </w:r>
          </w:p>
        </w:tc>
      </w:tr>
    </w:tbl>
    <w:p w14:paraId="322D9374" w14:textId="77777777" w:rsidR="00E227F4" w:rsidRDefault="00E227F4" w:rsidP="004F5700">
      <w:pPr>
        <w:rPr>
          <w:rFonts w:cstheme="minorHAnsi"/>
          <w:color w:val="000000"/>
          <w:sz w:val="14"/>
          <w:szCs w:val="14"/>
        </w:rPr>
      </w:pPr>
    </w:p>
    <w:p w14:paraId="7AC4B8F1" w14:textId="32BCCAAE" w:rsidR="00E227F4" w:rsidRPr="00E227F4" w:rsidRDefault="00E227F4" w:rsidP="00E227F4">
      <w:pPr>
        <w:pStyle w:val="Heading4"/>
      </w:pPr>
      <w:r w:rsidRPr="00E227F4">
        <w:t>Stockbrokers and Financial Advisers Association</w:t>
      </w: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E227F4" w:rsidRPr="00BA5832" w14:paraId="15DC49A5" w14:textId="77777777" w:rsidTr="00C9545A">
        <w:trPr>
          <w:trHeight w:val="483"/>
        </w:trPr>
        <w:tc>
          <w:tcPr>
            <w:tcW w:w="581" w:type="dxa"/>
          </w:tcPr>
          <w:p w14:paraId="75BEAA8B" w14:textId="52319EAA" w:rsidR="00E227F4" w:rsidRPr="00E10AD3" w:rsidRDefault="00E227F4" w:rsidP="00C9545A">
            <w:pPr>
              <w:pStyle w:val="Chart"/>
              <w:jc w:val="left"/>
            </w:pPr>
            <w:r>
              <w:t>(15)</w:t>
            </w:r>
          </w:p>
        </w:tc>
        <w:tc>
          <w:tcPr>
            <w:tcW w:w="5104" w:type="dxa"/>
            <w:shd w:val="clear" w:color="auto" w:fill="auto"/>
            <w:hideMark/>
          </w:tcPr>
          <w:p w14:paraId="2EA1986C" w14:textId="26E7FD47" w:rsidR="00E227F4" w:rsidRPr="003E0A75" w:rsidRDefault="00E227F4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E227F4">
              <w:t>SAFAA Professional Diploma in Stockbroking</w:t>
            </w:r>
          </w:p>
        </w:tc>
        <w:tc>
          <w:tcPr>
            <w:tcW w:w="3969" w:type="dxa"/>
          </w:tcPr>
          <w:p w14:paraId="08613FE1" w14:textId="1531328A" w:rsidR="00E227F4" w:rsidRPr="00BA5832" w:rsidRDefault="00E227F4" w:rsidP="00C9545A">
            <w:pPr>
              <w:pStyle w:val="Chart"/>
              <w:jc w:val="left"/>
            </w:pPr>
            <w:r w:rsidRPr="00E227F4">
              <w:t>Anytime</w:t>
            </w:r>
          </w:p>
        </w:tc>
      </w:tr>
    </w:tbl>
    <w:p w14:paraId="022219BF" w14:textId="77777777" w:rsidR="00E227F4" w:rsidRDefault="00E227F4" w:rsidP="00E227F4">
      <w:pPr>
        <w:pStyle w:val="Heading4"/>
      </w:pPr>
    </w:p>
    <w:p w14:paraId="0FB836A0" w14:textId="4B010B7A" w:rsidR="00E227F4" w:rsidRDefault="00E227F4" w:rsidP="00E227F4">
      <w:pPr>
        <w:pStyle w:val="Heading4"/>
      </w:pPr>
      <w:r w:rsidRPr="00E227F4">
        <w:t>SMSF Association</w:t>
      </w:r>
    </w:p>
    <w:tbl>
      <w:tblPr>
        <w:tblW w:w="96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4"/>
        <w:gridCol w:w="3969"/>
      </w:tblGrid>
      <w:tr w:rsidR="00E227F4" w:rsidRPr="00BA5832" w14:paraId="0B2C546D" w14:textId="77777777" w:rsidTr="00C9545A">
        <w:trPr>
          <w:trHeight w:val="483"/>
        </w:trPr>
        <w:tc>
          <w:tcPr>
            <w:tcW w:w="581" w:type="dxa"/>
          </w:tcPr>
          <w:p w14:paraId="0499A82B" w14:textId="6C226780" w:rsidR="00E227F4" w:rsidRPr="00E10AD3" w:rsidRDefault="00E227F4" w:rsidP="00C9545A">
            <w:pPr>
              <w:pStyle w:val="Chart"/>
              <w:jc w:val="left"/>
            </w:pPr>
            <w:r>
              <w:t>(16)</w:t>
            </w:r>
          </w:p>
        </w:tc>
        <w:tc>
          <w:tcPr>
            <w:tcW w:w="5104" w:type="dxa"/>
            <w:shd w:val="clear" w:color="auto" w:fill="auto"/>
            <w:hideMark/>
          </w:tcPr>
          <w:p w14:paraId="15D524EF" w14:textId="7E5955B6" w:rsidR="00E227F4" w:rsidRPr="003E0A75" w:rsidRDefault="00E227F4" w:rsidP="00C9545A">
            <w:pPr>
              <w:pStyle w:val="Chart"/>
              <w:jc w:val="left"/>
              <w:rPr>
                <w:rFonts w:ascii="Segoe UI" w:hAnsi="Segoe UI" w:cs="Segoe UI"/>
              </w:rPr>
            </w:pPr>
            <w:r w:rsidRPr="00E227F4">
              <w:t>SMSF Specialist Advisor Program</w:t>
            </w:r>
          </w:p>
        </w:tc>
        <w:tc>
          <w:tcPr>
            <w:tcW w:w="3969" w:type="dxa"/>
          </w:tcPr>
          <w:p w14:paraId="2CF697DA" w14:textId="71CA976D" w:rsidR="00E227F4" w:rsidRPr="00BA5832" w:rsidRDefault="00E227F4" w:rsidP="00C9545A">
            <w:pPr>
              <w:pStyle w:val="Chart"/>
              <w:jc w:val="left"/>
            </w:pPr>
            <w:r w:rsidRPr="00E227F4">
              <w:t>Completed during or after 2005</w:t>
            </w:r>
          </w:p>
        </w:tc>
      </w:tr>
    </w:tbl>
    <w:p w14:paraId="5490E96F" w14:textId="77777777" w:rsidR="00E227F4" w:rsidRPr="004F5700" w:rsidRDefault="00E227F4" w:rsidP="004F5700"/>
    <w:sectPr w:rsidR="00E227F4" w:rsidRPr="004F5700" w:rsidSect="00F3032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680" w:footer="284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213D" w14:textId="77777777" w:rsidR="004F1C0D" w:rsidRDefault="004F1C0D" w:rsidP="00886BC4">
      <w:r>
        <w:separator/>
      </w:r>
    </w:p>
    <w:p w14:paraId="023AD9BC" w14:textId="77777777" w:rsidR="004F1C0D" w:rsidRDefault="004F1C0D"/>
  </w:endnote>
  <w:endnote w:type="continuationSeparator" w:id="0">
    <w:p w14:paraId="24530F6B" w14:textId="77777777" w:rsidR="004F1C0D" w:rsidRDefault="004F1C0D" w:rsidP="00886BC4">
      <w:r>
        <w:continuationSeparator/>
      </w:r>
    </w:p>
    <w:p w14:paraId="218352DD" w14:textId="77777777" w:rsidR="004F1C0D" w:rsidRDefault="004F1C0D"/>
  </w:endnote>
  <w:endnote w:type="continuationNotice" w:id="1">
    <w:p w14:paraId="3E907EED" w14:textId="77777777" w:rsidR="004F1C0D" w:rsidRDefault="004F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2A14" w14:textId="1673D771" w:rsidR="00251470" w:rsidRPr="00251470" w:rsidRDefault="005E44AF" w:rsidP="00251470">
    <w:pPr>
      <w:spacing w:before="360" w:after="240"/>
      <w:rPr>
        <w:sz w:val="18"/>
        <w:szCs w:val="18"/>
      </w:rPr>
    </w:pPr>
    <w:r>
      <w:rPr>
        <w:sz w:val="18"/>
        <w:szCs w:val="18"/>
      </w:rPr>
      <w:t xml:space="preserve">Financial </w:t>
    </w:r>
    <w:r w:rsidR="008B51D0">
      <w:rPr>
        <w:sz w:val="18"/>
        <w:szCs w:val="18"/>
      </w:rPr>
      <w:t>A</w:t>
    </w:r>
    <w:r>
      <w:rPr>
        <w:sz w:val="18"/>
        <w:szCs w:val="18"/>
      </w:rPr>
      <w:t>d</w:t>
    </w:r>
    <w:r w:rsidR="008B51D0">
      <w:rPr>
        <w:sz w:val="18"/>
        <w:szCs w:val="18"/>
      </w:rPr>
      <w:t xml:space="preserve">viser Standards </w:t>
    </w:r>
    <w:r w:rsidR="008B51D0">
      <w:rPr>
        <w:sz w:val="18"/>
        <w:szCs w:val="18"/>
      </w:rPr>
      <w:br/>
    </w:r>
    <w:r w:rsidR="00251470" w:rsidRPr="00251470">
      <w:rPr>
        <w:sz w:val="18"/>
        <w:szCs w:val="18"/>
      </w:rPr>
      <w:fldChar w:fldCharType="begin"/>
    </w:r>
    <w:r w:rsidR="00251470" w:rsidRPr="00251470">
      <w:rPr>
        <w:sz w:val="18"/>
        <w:szCs w:val="18"/>
      </w:rPr>
      <w:instrText xml:space="preserve"> STYLEREF  "Fact sheet title"  \* MERGEFORMAT </w:instrText>
    </w:r>
    <w:r w:rsidR="00251470" w:rsidRPr="00251470">
      <w:rPr>
        <w:sz w:val="18"/>
        <w:szCs w:val="18"/>
      </w:rPr>
      <w:fldChar w:fldCharType="separate"/>
    </w:r>
    <w:r w:rsidR="00E50A7D">
      <w:rPr>
        <w:noProof/>
        <w:sz w:val="18"/>
        <w:szCs w:val="18"/>
      </w:rPr>
      <w:t>Approved Advanced Diplomas of Financial Planning and</w:t>
    </w:r>
    <w:r w:rsidR="00E50A7D">
      <w:rPr>
        <w:noProof/>
        <w:sz w:val="18"/>
        <w:szCs w:val="18"/>
      </w:rPr>
      <w:br/>
      <w:t>Professional Designations</w:t>
    </w:r>
    <w:r w:rsidR="00251470" w:rsidRPr="00251470">
      <w:rPr>
        <w:sz w:val="18"/>
        <w:szCs w:val="18"/>
      </w:rPr>
      <w:fldChar w:fldCharType="end"/>
    </w:r>
    <w:r w:rsidR="00251470" w:rsidRPr="00251470">
      <w:rPr>
        <w:sz w:val="18"/>
        <w:szCs w:val="18"/>
      </w:rPr>
      <w:ptab w:relativeTo="margin" w:alignment="right" w:leader="none"/>
    </w:r>
    <w:r w:rsidR="00251470" w:rsidRPr="00251470">
      <w:rPr>
        <w:sz w:val="18"/>
        <w:szCs w:val="18"/>
      </w:rPr>
      <w:fldChar w:fldCharType="begin"/>
    </w:r>
    <w:r w:rsidR="00251470" w:rsidRPr="00251470">
      <w:rPr>
        <w:sz w:val="18"/>
        <w:szCs w:val="18"/>
      </w:rPr>
      <w:instrText xml:space="preserve"> PAGE   \* MERGEFORMAT </w:instrText>
    </w:r>
    <w:r w:rsidR="00251470" w:rsidRPr="00251470">
      <w:rPr>
        <w:sz w:val="18"/>
        <w:szCs w:val="18"/>
      </w:rPr>
      <w:fldChar w:fldCharType="separate"/>
    </w:r>
    <w:r w:rsidR="00251470">
      <w:rPr>
        <w:sz w:val="18"/>
        <w:szCs w:val="18"/>
      </w:rPr>
      <w:t>1</w:t>
    </w:r>
    <w:r w:rsidR="00251470" w:rsidRPr="0025147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51CA" w14:textId="2804F5BD" w:rsidR="00251470" w:rsidRPr="00251470" w:rsidRDefault="00F30320" w:rsidP="00251470">
    <w:pPr>
      <w:spacing w:before="360" w:after="240"/>
      <w:rPr>
        <w:sz w:val="18"/>
        <w:szCs w:val="18"/>
      </w:rPr>
    </w:pPr>
    <w:r>
      <w:rPr>
        <w:sz w:val="18"/>
        <w:szCs w:val="18"/>
      </w:rPr>
      <w:t xml:space="preserve">Financial Adviser Standards </w:t>
    </w:r>
    <w:r>
      <w:rPr>
        <w:sz w:val="18"/>
        <w:szCs w:val="18"/>
      </w:rPr>
      <w:br/>
    </w:r>
    <w:r w:rsidRPr="00251470">
      <w:rPr>
        <w:sz w:val="18"/>
        <w:szCs w:val="18"/>
      </w:rPr>
      <w:fldChar w:fldCharType="begin"/>
    </w:r>
    <w:r w:rsidRPr="00251470">
      <w:rPr>
        <w:sz w:val="18"/>
        <w:szCs w:val="18"/>
      </w:rPr>
      <w:instrText xml:space="preserve"> STYLEREF  "Fact sheet title"  \* MERGEFORMAT </w:instrText>
    </w:r>
    <w:r w:rsidRPr="00251470">
      <w:rPr>
        <w:sz w:val="18"/>
        <w:szCs w:val="18"/>
      </w:rPr>
      <w:fldChar w:fldCharType="separate"/>
    </w:r>
    <w:r w:rsidR="00E50A7D">
      <w:rPr>
        <w:noProof/>
        <w:sz w:val="18"/>
        <w:szCs w:val="18"/>
      </w:rPr>
      <w:t>Approved Advanced Diplomas of Financial Planning and</w:t>
    </w:r>
    <w:r w:rsidR="00E50A7D">
      <w:rPr>
        <w:noProof/>
        <w:sz w:val="18"/>
        <w:szCs w:val="18"/>
      </w:rPr>
      <w:br/>
      <w:t>Professional Designations</w:t>
    </w:r>
    <w:r w:rsidRPr="00251470">
      <w:rPr>
        <w:sz w:val="18"/>
        <w:szCs w:val="18"/>
      </w:rPr>
      <w:fldChar w:fldCharType="end"/>
    </w:r>
    <w:r w:rsidR="00251470" w:rsidRPr="00251470">
      <w:rPr>
        <w:sz w:val="18"/>
        <w:szCs w:val="18"/>
      </w:rPr>
      <w:ptab w:relativeTo="margin" w:alignment="right" w:leader="none"/>
    </w:r>
    <w:r w:rsidR="00251470" w:rsidRPr="00251470">
      <w:rPr>
        <w:sz w:val="18"/>
        <w:szCs w:val="18"/>
      </w:rPr>
      <w:t xml:space="preserve">  </w:t>
    </w:r>
    <w:r w:rsidR="00251470" w:rsidRPr="00251470">
      <w:rPr>
        <w:sz w:val="18"/>
        <w:szCs w:val="18"/>
      </w:rPr>
      <w:fldChar w:fldCharType="begin"/>
    </w:r>
    <w:r w:rsidR="00251470" w:rsidRPr="00251470">
      <w:rPr>
        <w:sz w:val="18"/>
        <w:szCs w:val="18"/>
      </w:rPr>
      <w:instrText xml:space="preserve"> PAGE   \* MERGEFORMAT </w:instrText>
    </w:r>
    <w:r w:rsidR="00251470" w:rsidRPr="00251470">
      <w:rPr>
        <w:sz w:val="18"/>
        <w:szCs w:val="18"/>
      </w:rPr>
      <w:fldChar w:fldCharType="separate"/>
    </w:r>
    <w:r w:rsidR="00251470" w:rsidRPr="00251470">
      <w:rPr>
        <w:sz w:val="18"/>
        <w:szCs w:val="18"/>
      </w:rPr>
      <w:t>1</w:t>
    </w:r>
    <w:r w:rsidR="00251470" w:rsidRPr="0025147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D682" w14:textId="77777777" w:rsidR="004F1C0D" w:rsidRDefault="004F1C0D">
      <w:r>
        <w:separator/>
      </w:r>
    </w:p>
  </w:footnote>
  <w:footnote w:type="continuationSeparator" w:id="0">
    <w:p w14:paraId="68953FBB" w14:textId="77777777" w:rsidR="004F1C0D" w:rsidRDefault="004F1C0D" w:rsidP="00886BC4">
      <w:r>
        <w:continuationSeparator/>
      </w:r>
    </w:p>
    <w:p w14:paraId="40BAC8D8" w14:textId="77777777" w:rsidR="004F1C0D" w:rsidRDefault="004F1C0D"/>
  </w:footnote>
  <w:footnote w:type="continuationNotice" w:id="1">
    <w:p w14:paraId="1E45297B" w14:textId="77777777" w:rsidR="004F1C0D" w:rsidRDefault="004F1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A4C7" w14:textId="77777777" w:rsidR="009C3DDA" w:rsidRDefault="009C3DDA" w:rsidP="009C3DDA">
    <w:pPr>
      <w:pStyle w:val="SecurityClassificationHeader"/>
    </w:pPr>
    <w:r>
      <w:drawing>
        <wp:anchor distT="0" distB="0" distL="114300" distR="114300" simplePos="0" relativeHeight="251658241" behindDoc="1" locked="0" layoutInCell="1" allowOverlap="1" wp14:anchorId="4BE16EE8" wp14:editId="517993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7600" cy="1036800"/>
          <wp:effectExtent l="0" t="0" r="0" b="0"/>
          <wp:wrapNone/>
          <wp:docPr id="30" name="Picture 30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6E5A" w14:textId="77777777" w:rsidR="009C3DDA" w:rsidRDefault="00995CA4" w:rsidP="009C3DDA">
    <w:pPr>
      <w:pStyle w:val="SecurityClassificationHeader"/>
    </w:pPr>
    <w:r>
      <w:drawing>
        <wp:anchor distT="0" distB="0" distL="114300" distR="114300" simplePos="0" relativeHeight="251658240" behindDoc="1" locked="0" layoutInCell="1" allowOverlap="0" wp14:anchorId="216EB648" wp14:editId="2F53A04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20400" cy="1504800"/>
          <wp:effectExtent l="0" t="0" r="0" b="0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5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8D2498" w14:textId="77777777" w:rsidR="002D7F54" w:rsidRDefault="002D7F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DEC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AC6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585E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A0E5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A4BC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8EC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A0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A8236C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FFFFFF88"/>
    <w:multiLevelType w:val="singleLevel"/>
    <w:tmpl w:val="FBBC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945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114EB"/>
    <w:multiLevelType w:val="multilevel"/>
    <w:tmpl w:val="B170A2E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076A3F"/>
    <w:multiLevelType w:val="multilevel"/>
    <w:tmpl w:val="19FC608C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4964991">
    <w:abstractNumId w:val="11"/>
  </w:num>
  <w:num w:numId="2" w16cid:durableId="159850122">
    <w:abstractNumId w:val="18"/>
  </w:num>
  <w:num w:numId="3" w16cid:durableId="1637682980">
    <w:abstractNumId w:val="16"/>
  </w:num>
  <w:num w:numId="4" w16cid:durableId="960067924">
    <w:abstractNumId w:val="17"/>
  </w:num>
  <w:num w:numId="5" w16cid:durableId="1964340045">
    <w:abstractNumId w:val="14"/>
  </w:num>
  <w:num w:numId="6" w16cid:durableId="1973752538">
    <w:abstractNumId w:val="7"/>
  </w:num>
  <w:num w:numId="7" w16cid:durableId="835996563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971036">
    <w:abstractNumId w:val="10"/>
  </w:num>
  <w:num w:numId="9" w16cid:durableId="71584571">
    <w:abstractNumId w:val="15"/>
  </w:num>
  <w:num w:numId="10" w16cid:durableId="1634484503">
    <w:abstractNumId w:val="9"/>
  </w:num>
  <w:num w:numId="11" w16cid:durableId="142283057">
    <w:abstractNumId w:val="6"/>
  </w:num>
  <w:num w:numId="12" w16cid:durableId="1645621410">
    <w:abstractNumId w:val="5"/>
  </w:num>
  <w:num w:numId="13" w16cid:durableId="2027634097">
    <w:abstractNumId w:val="4"/>
  </w:num>
  <w:num w:numId="14" w16cid:durableId="700328491">
    <w:abstractNumId w:val="8"/>
  </w:num>
  <w:num w:numId="15" w16cid:durableId="1509906433">
    <w:abstractNumId w:val="3"/>
  </w:num>
  <w:num w:numId="16" w16cid:durableId="150021716">
    <w:abstractNumId w:val="2"/>
  </w:num>
  <w:num w:numId="17" w16cid:durableId="872688808">
    <w:abstractNumId w:val="1"/>
  </w:num>
  <w:num w:numId="18" w16cid:durableId="226306808">
    <w:abstractNumId w:val="0"/>
  </w:num>
  <w:num w:numId="19" w16cid:durableId="751700520">
    <w:abstractNumId w:val="12"/>
  </w:num>
  <w:num w:numId="20" w16cid:durableId="112770194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8B5AD4"/>
    <w:rsid w:val="00016670"/>
    <w:rsid w:val="00016B6C"/>
    <w:rsid w:val="0002151A"/>
    <w:rsid w:val="0003235F"/>
    <w:rsid w:val="00033071"/>
    <w:rsid w:val="00033942"/>
    <w:rsid w:val="000421F9"/>
    <w:rsid w:val="00045C24"/>
    <w:rsid w:val="00046C88"/>
    <w:rsid w:val="000541A2"/>
    <w:rsid w:val="0006073D"/>
    <w:rsid w:val="00060C76"/>
    <w:rsid w:val="00067E65"/>
    <w:rsid w:val="000753CE"/>
    <w:rsid w:val="00086546"/>
    <w:rsid w:val="00092D2B"/>
    <w:rsid w:val="00095120"/>
    <w:rsid w:val="00095C2C"/>
    <w:rsid w:val="000A4D2D"/>
    <w:rsid w:val="000B1D23"/>
    <w:rsid w:val="000B1EC3"/>
    <w:rsid w:val="000B3C90"/>
    <w:rsid w:val="000B5ACA"/>
    <w:rsid w:val="000C02C9"/>
    <w:rsid w:val="000C1C44"/>
    <w:rsid w:val="000C20CD"/>
    <w:rsid w:val="000C4D19"/>
    <w:rsid w:val="000D33F2"/>
    <w:rsid w:val="000D39C2"/>
    <w:rsid w:val="000D7D2F"/>
    <w:rsid w:val="000E324C"/>
    <w:rsid w:val="000E7BF4"/>
    <w:rsid w:val="000F0408"/>
    <w:rsid w:val="000F08EA"/>
    <w:rsid w:val="000F2493"/>
    <w:rsid w:val="000F2562"/>
    <w:rsid w:val="000F33C9"/>
    <w:rsid w:val="00102238"/>
    <w:rsid w:val="001047A5"/>
    <w:rsid w:val="00105EBE"/>
    <w:rsid w:val="0010672A"/>
    <w:rsid w:val="001076EB"/>
    <w:rsid w:val="001145FD"/>
    <w:rsid w:val="00115B2E"/>
    <w:rsid w:val="0011628E"/>
    <w:rsid w:val="001220FB"/>
    <w:rsid w:val="00132158"/>
    <w:rsid w:val="001331DE"/>
    <w:rsid w:val="001363E7"/>
    <w:rsid w:val="001364D4"/>
    <w:rsid w:val="00136D41"/>
    <w:rsid w:val="001376CC"/>
    <w:rsid w:val="00140697"/>
    <w:rsid w:val="0014178A"/>
    <w:rsid w:val="00143720"/>
    <w:rsid w:val="00144B84"/>
    <w:rsid w:val="00155271"/>
    <w:rsid w:val="00163B06"/>
    <w:rsid w:val="0016523E"/>
    <w:rsid w:val="00166A45"/>
    <w:rsid w:val="00173D97"/>
    <w:rsid w:val="00174954"/>
    <w:rsid w:val="00181329"/>
    <w:rsid w:val="00182E9E"/>
    <w:rsid w:val="00183F40"/>
    <w:rsid w:val="00190D7B"/>
    <w:rsid w:val="00192367"/>
    <w:rsid w:val="001925F9"/>
    <w:rsid w:val="001929D8"/>
    <w:rsid w:val="00197021"/>
    <w:rsid w:val="00197414"/>
    <w:rsid w:val="001A11F4"/>
    <w:rsid w:val="001A5155"/>
    <w:rsid w:val="001A5DCC"/>
    <w:rsid w:val="001B3A29"/>
    <w:rsid w:val="001B540E"/>
    <w:rsid w:val="001C4B92"/>
    <w:rsid w:val="001C5117"/>
    <w:rsid w:val="001C78AE"/>
    <w:rsid w:val="001D209F"/>
    <w:rsid w:val="001D3765"/>
    <w:rsid w:val="001D45A4"/>
    <w:rsid w:val="001D48B5"/>
    <w:rsid w:val="001D5446"/>
    <w:rsid w:val="001E120B"/>
    <w:rsid w:val="001E5623"/>
    <w:rsid w:val="001E6DC2"/>
    <w:rsid w:val="001E7840"/>
    <w:rsid w:val="001E7CF5"/>
    <w:rsid w:val="001F3F31"/>
    <w:rsid w:val="001F50DA"/>
    <w:rsid w:val="001F5C01"/>
    <w:rsid w:val="00202F17"/>
    <w:rsid w:val="00203245"/>
    <w:rsid w:val="00205F44"/>
    <w:rsid w:val="002105F8"/>
    <w:rsid w:val="0021078B"/>
    <w:rsid w:val="00215EE7"/>
    <w:rsid w:val="00223D87"/>
    <w:rsid w:val="002268AB"/>
    <w:rsid w:val="00226F00"/>
    <w:rsid w:val="0022749C"/>
    <w:rsid w:val="00227C77"/>
    <w:rsid w:val="00232DEE"/>
    <w:rsid w:val="00233887"/>
    <w:rsid w:val="00233A88"/>
    <w:rsid w:val="00241B9A"/>
    <w:rsid w:val="0024226F"/>
    <w:rsid w:val="00245342"/>
    <w:rsid w:val="002462BD"/>
    <w:rsid w:val="00251470"/>
    <w:rsid w:val="00260712"/>
    <w:rsid w:val="00263339"/>
    <w:rsid w:val="002809F6"/>
    <w:rsid w:val="00283303"/>
    <w:rsid w:val="00284B00"/>
    <w:rsid w:val="00285B65"/>
    <w:rsid w:val="00287F32"/>
    <w:rsid w:val="0029134D"/>
    <w:rsid w:val="002978C8"/>
    <w:rsid w:val="002A0B32"/>
    <w:rsid w:val="002A4B83"/>
    <w:rsid w:val="002A6430"/>
    <w:rsid w:val="002A6EFF"/>
    <w:rsid w:val="002A79C5"/>
    <w:rsid w:val="002C26D9"/>
    <w:rsid w:val="002D49D1"/>
    <w:rsid w:val="002D7F54"/>
    <w:rsid w:val="002F417B"/>
    <w:rsid w:val="002F6ADC"/>
    <w:rsid w:val="00300C95"/>
    <w:rsid w:val="003054A8"/>
    <w:rsid w:val="00306770"/>
    <w:rsid w:val="00307DA3"/>
    <w:rsid w:val="00323172"/>
    <w:rsid w:val="00327D31"/>
    <w:rsid w:val="00327F24"/>
    <w:rsid w:val="003305CA"/>
    <w:rsid w:val="0034064A"/>
    <w:rsid w:val="0034564D"/>
    <w:rsid w:val="00350C1A"/>
    <w:rsid w:val="00353390"/>
    <w:rsid w:val="00357842"/>
    <w:rsid w:val="0037165F"/>
    <w:rsid w:val="00372AC1"/>
    <w:rsid w:val="003802F4"/>
    <w:rsid w:val="003831AB"/>
    <w:rsid w:val="00390C06"/>
    <w:rsid w:val="003A0F52"/>
    <w:rsid w:val="003A49A0"/>
    <w:rsid w:val="003A49D9"/>
    <w:rsid w:val="003A63D1"/>
    <w:rsid w:val="003C047D"/>
    <w:rsid w:val="003C4F86"/>
    <w:rsid w:val="003C789B"/>
    <w:rsid w:val="003C7F92"/>
    <w:rsid w:val="003D0B74"/>
    <w:rsid w:val="003D3F5F"/>
    <w:rsid w:val="003E0A75"/>
    <w:rsid w:val="003E26C5"/>
    <w:rsid w:val="003F2E2F"/>
    <w:rsid w:val="003F424B"/>
    <w:rsid w:val="003F5058"/>
    <w:rsid w:val="00406CDA"/>
    <w:rsid w:val="0041625C"/>
    <w:rsid w:val="00417D56"/>
    <w:rsid w:val="00420B73"/>
    <w:rsid w:val="00421F55"/>
    <w:rsid w:val="00425E05"/>
    <w:rsid w:val="004276F4"/>
    <w:rsid w:val="00442C7E"/>
    <w:rsid w:val="00450B68"/>
    <w:rsid w:val="00450CCE"/>
    <w:rsid w:val="004542B7"/>
    <w:rsid w:val="004546DC"/>
    <w:rsid w:val="004613D7"/>
    <w:rsid w:val="00461B08"/>
    <w:rsid w:val="00463D4E"/>
    <w:rsid w:val="004671AA"/>
    <w:rsid w:val="00470BA0"/>
    <w:rsid w:val="0047507F"/>
    <w:rsid w:val="00477439"/>
    <w:rsid w:val="00485A3D"/>
    <w:rsid w:val="00486B7C"/>
    <w:rsid w:val="00490C62"/>
    <w:rsid w:val="0049103F"/>
    <w:rsid w:val="00496135"/>
    <w:rsid w:val="0049673E"/>
    <w:rsid w:val="00496C34"/>
    <w:rsid w:val="004A2AFD"/>
    <w:rsid w:val="004A37EA"/>
    <w:rsid w:val="004A4424"/>
    <w:rsid w:val="004B04FA"/>
    <w:rsid w:val="004B08DC"/>
    <w:rsid w:val="004B1F82"/>
    <w:rsid w:val="004B56B0"/>
    <w:rsid w:val="004C1F58"/>
    <w:rsid w:val="004C5917"/>
    <w:rsid w:val="004C5E48"/>
    <w:rsid w:val="004D0778"/>
    <w:rsid w:val="004D75F6"/>
    <w:rsid w:val="004E1D45"/>
    <w:rsid w:val="004E424B"/>
    <w:rsid w:val="004E71FE"/>
    <w:rsid w:val="004F1C0D"/>
    <w:rsid w:val="004F24D0"/>
    <w:rsid w:val="004F2685"/>
    <w:rsid w:val="004F5700"/>
    <w:rsid w:val="00502E10"/>
    <w:rsid w:val="00505009"/>
    <w:rsid w:val="00506BF4"/>
    <w:rsid w:val="00507097"/>
    <w:rsid w:val="0051077F"/>
    <w:rsid w:val="0051600D"/>
    <w:rsid w:val="00516FB2"/>
    <w:rsid w:val="00524DCE"/>
    <w:rsid w:val="00525050"/>
    <w:rsid w:val="0052589B"/>
    <w:rsid w:val="0053110F"/>
    <w:rsid w:val="00533FEF"/>
    <w:rsid w:val="00535C81"/>
    <w:rsid w:val="00546D8E"/>
    <w:rsid w:val="00546FDD"/>
    <w:rsid w:val="00551340"/>
    <w:rsid w:val="00553181"/>
    <w:rsid w:val="00554F64"/>
    <w:rsid w:val="005606FD"/>
    <w:rsid w:val="00565A52"/>
    <w:rsid w:val="00566AD8"/>
    <w:rsid w:val="00570B86"/>
    <w:rsid w:val="005732EB"/>
    <w:rsid w:val="00577C0B"/>
    <w:rsid w:val="005803BF"/>
    <w:rsid w:val="00582FAD"/>
    <w:rsid w:val="00585F7E"/>
    <w:rsid w:val="00590166"/>
    <w:rsid w:val="0059334B"/>
    <w:rsid w:val="00594ABF"/>
    <w:rsid w:val="005A11E6"/>
    <w:rsid w:val="005A2484"/>
    <w:rsid w:val="005A3FC8"/>
    <w:rsid w:val="005A6A61"/>
    <w:rsid w:val="005B0968"/>
    <w:rsid w:val="005B207E"/>
    <w:rsid w:val="005B2484"/>
    <w:rsid w:val="005B3871"/>
    <w:rsid w:val="005B659D"/>
    <w:rsid w:val="005B6B98"/>
    <w:rsid w:val="005B70CF"/>
    <w:rsid w:val="005C1326"/>
    <w:rsid w:val="005C3527"/>
    <w:rsid w:val="005C4A7B"/>
    <w:rsid w:val="005C4B02"/>
    <w:rsid w:val="005C5140"/>
    <w:rsid w:val="005D01B1"/>
    <w:rsid w:val="005D6B05"/>
    <w:rsid w:val="005E117C"/>
    <w:rsid w:val="005E2DE9"/>
    <w:rsid w:val="005E44AF"/>
    <w:rsid w:val="005E62D6"/>
    <w:rsid w:val="005F0AE3"/>
    <w:rsid w:val="005F0FBF"/>
    <w:rsid w:val="006014A0"/>
    <w:rsid w:val="00604141"/>
    <w:rsid w:val="00614971"/>
    <w:rsid w:val="006229D2"/>
    <w:rsid w:val="00627218"/>
    <w:rsid w:val="006355D1"/>
    <w:rsid w:val="00635DD4"/>
    <w:rsid w:val="00637692"/>
    <w:rsid w:val="0064704A"/>
    <w:rsid w:val="00647EF8"/>
    <w:rsid w:val="00650737"/>
    <w:rsid w:val="00654F4C"/>
    <w:rsid w:val="00677BB9"/>
    <w:rsid w:val="0068498B"/>
    <w:rsid w:val="006916AD"/>
    <w:rsid w:val="00694B4F"/>
    <w:rsid w:val="006A118D"/>
    <w:rsid w:val="006A1C73"/>
    <w:rsid w:val="006A3972"/>
    <w:rsid w:val="006A712D"/>
    <w:rsid w:val="006C22D1"/>
    <w:rsid w:val="006C5DD5"/>
    <w:rsid w:val="006D138F"/>
    <w:rsid w:val="006D27A6"/>
    <w:rsid w:val="006D3EE7"/>
    <w:rsid w:val="006D6960"/>
    <w:rsid w:val="006E101D"/>
    <w:rsid w:val="006E6F8C"/>
    <w:rsid w:val="006E76BE"/>
    <w:rsid w:val="006F0918"/>
    <w:rsid w:val="006F4759"/>
    <w:rsid w:val="006F56A2"/>
    <w:rsid w:val="006F6E04"/>
    <w:rsid w:val="00705AD6"/>
    <w:rsid w:val="0071506B"/>
    <w:rsid w:val="00717216"/>
    <w:rsid w:val="00722F56"/>
    <w:rsid w:val="007343B8"/>
    <w:rsid w:val="00736715"/>
    <w:rsid w:val="007426A3"/>
    <w:rsid w:val="007600FA"/>
    <w:rsid w:val="0076093D"/>
    <w:rsid w:val="00760DFD"/>
    <w:rsid w:val="00761DA0"/>
    <w:rsid w:val="007622D7"/>
    <w:rsid w:val="0076432B"/>
    <w:rsid w:val="007825F2"/>
    <w:rsid w:val="00784A3C"/>
    <w:rsid w:val="00793BD7"/>
    <w:rsid w:val="0079466D"/>
    <w:rsid w:val="007977C5"/>
    <w:rsid w:val="007A4195"/>
    <w:rsid w:val="007A4260"/>
    <w:rsid w:val="007A6E4D"/>
    <w:rsid w:val="007B11E6"/>
    <w:rsid w:val="007B6953"/>
    <w:rsid w:val="007B7784"/>
    <w:rsid w:val="007C1094"/>
    <w:rsid w:val="007C1A74"/>
    <w:rsid w:val="007C3CD0"/>
    <w:rsid w:val="007D0AD0"/>
    <w:rsid w:val="007D4EB7"/>
    <w:rsid w:val="007D6CEC"/>
    <w:rsid w:val="007D6F47"/>
    <w:rsid w:val="007E013D"/>
    <w:rsid w:val="007E0975"/>
    <w:rsid w:val="007E2E85"/>
    <w:rsid w:val="007E36E4"/>
    <w:rsid w:val="007E5E07"/>
    <w:rsid w:val="007E7046"/>
    <w:rsid w:val="007F53C0"/>
    <w:rsid w:val="007F61E3"/>
    <w:rsid w:val="007F7270"/>
    <w:rsid w:val="0081323E"/>
    <w:rsid w:val="008139FB"/>
    <w:rsid w:val="00815842"/>
    <w:rsid w:val="00826682"/>
    <w:rsid w:val="00830E43"/>
    <w:rsid w:val="00831D8A"/>
    <w:rsid w:val="00852867"/>
    <w:rsid w:val="008616B9"/>
    <w:rsid w:val="00864047"/>
    <w:rsid w:val="008663E3"/>
    <w:rsid w:val="00875F98"/>
    <w:rsid w:val="00876063"/>
    <w:rsid w:val="00876F33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B2938"/>
    <w:rsid w:val="008B3091"/>
    <w:rsid w:val="008B395C"/>
    <w:rsid w:val="008B51D0"/>
    <w:rsid w:val="008B5AD4"/>
    <w:rsid w:val="008C5773"/>
    <w:rsid w:val="008C676B"/>
    <w:rsid w:val="008D0CA6"/>
    <w:rsid w:val="008D4CD0"/>
    <w:rsid w:val="008D5358"/>
    <w:rsid w:val="008D7158"/>
    <w:rsid w:val="008E0180"/>
    <w:rsid w:val="008E04BD"/>
    <w:rsid w:val="008E31D1"/>
    <w:rsid w:val="008E35A5"/>
    <w:rsid w:val="008E51E0"/>
    <w:rsid w:val="008F0B15"/>
    <w:rsid w:val="008F14DB"/>
    <w:rsid w:val="008F1AA6"/>
    <w:rsid w:val="008F2212"/>
    <w:rsid w:val="008F73C8"/>
    <w:rsid w:val="008F7E69"/>
    <w:rsid w:val="00903786"/>
    <w:rsid w:val="00903AB2"/>
    <w:rsid w:val="00905F29"/>
    <w:rsid w:val="00906AE9"/>
    <w:rsid w:val="00906E5B"/>
    <w:rsid w:val="0090719E"/>
    <w:rsid w:val="009109AA"/>
    <w:rsid w:val="00926879"/>
    <w:rsid w:val="00931708"/>
    <w:rsid w:val="00933C8C"/>
    <w:rsid w:val="009367F6"/>
    <w:rsid w:val="0093741D"/>
    <w:rsid w:val="009422A5"/>
    <w:rsid w:val="00942CB3"/>
    <w:rsid w:val="00944174"/>
    <w:rsid w:val="00950CE8"/>
    <w:rsid w:val="00951652"/>
    <w:rsid w:val="00952F2F"/>
    <w:rsid w:val="00965C4B"/>
    <w:rsid w:val="009720E3"/>
    <w:rsid w:val="0097295A"/>
    <w:rsid w:val="009757BB"/>
    <w:rsid w:val="009768BB"/>
    <w:rsid w:val="00980493"/>
    <w:rsid w:val="0098151F"/>
    <w:rsid w:val="00986A46"/>
    <w:rsid w:val="009906A6"/>
    <w:rsid w:val="0099140E"/>
    <w:rsid w:val="00992ADC"/>
    <w:rsid w:val="00995CA4"/>
    <w:rsid w:val="009A4CD0"/>
    <w:rsid w:val="009A616E"/>
    <w:rsid w:val="009A6366"/>
    <w:rsid w:val="009A6D32"/>
    <w:rsid w:val="009A71C4"/>
    <w:rsid w:val="009B0985"/>
    <w:rsid w:val="009B15EC"/>
    <w:rsid w:val="009B1729"/>
    <w:rsid w:val="009B1781"/>
    <w:rsid w:val="009B20DA"/>
    <w:rsid w:val="009B2546"/>
    <w:rsid w:val="009B464D"/>
    <w:rsid w:val="009C1F90"/>
    <w:rsid w:val="009C261E"/>
    <w:rsid w:val="009C3C55"/>
    <w:rsid w:val="009C3DDA"/>
    <w:rsid w:val="009C66A3"/>
    <w:rsid w:val="009D616A"/>
    <w:rsid w:val="009E21C5"/>
    <w:rsid w:val="009E6061"/>
    <w:rsid w:val="009E6303"/>
    <w:rsid w:val="00A01086"/>
    <w:rsid w:val="00A05E57"/>
    <w:rsid w:val="00A1120D"/>
    <w:rsid w:val="00A13CB3"/>
    <w:rsid w:val="00A13F0D"/>
    <w:rsid w:val="00A15DB7"/>
    <w:rsid w:val="00A17503"/>
    <w:rsid w:val="00A215B3"/>
    <w:rsid w:val="00A21B06"/>
    <w:rsid w:val="00A23A81"/>
    <w:rsid w:val="00A23DB3"/>
    <w:rsid w:val="00A24D20"/>
    <w:rsid w:val="00A27399"/>
    <w:rsid w:val="00A32C4E"/>
    <w:rsid w:val="00A3452B"/>
    <w:rsid w:val="00A35F38"/>
    <w:rsid w:val="00A46A9A"/>
    <w:rsid w:val="00A46E51"/>
    <w:rsid w:val="00A50111"/>
    <w:rsid w:val="00A52C22"/>
    <w:rsid w:val="00A60022"/>
    <w:rsid w:val="00A62AF4"/>
    <w:rsid w:val="00A6514E"/>
    <w:rsid w:val="00A7365A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27B4"/>
    <w:rsid w:val="00AC2C4F"/>
    <w:rsid w:val="00AC3A7E"/>
    <w:rsid w:val="00AC4C62"/>
    <w:rsid w:val="00AC60D4"/>
    <w:rsid w:val="00AC63E8"/>
    <w:rsid w:val="00AD3F5F"/>
    <w:rsid w:val="00AD41AF"/>
    <w:rsid w:val="00AE07EE"/>
    <w:rsid w:val="00AE255C"/>
    <w:rsid w:val="00AE39EE"/>
    <w:rsid w:val="00AE53E5"/>
    <w:rsid w:val="00AF31F9"/>
    <w:rsid w:val="00AF4F58"/>
    <w:rsid w:val="00B05BB3"/>
    <w:rsid w:val="00B05EFF"/>
    <w:rsid w:val="00B129C3"/>
    <w:rsid w:val="00B1509D"/>
    <w:rsid w:val="00B15B56"/>
    <w:rsid w:val="00B24C1C"/>
    <w:rsid w:val="00B32830"/>
    <w:rsid w:val="00B42FAF"/>
    <w:rsid w:val="00B44E52"/>
    <w:rsid w:val="00B4652E"/>
    <w:rsid w:val="00B50FEA"/>
    <w:rsid w:val="00B51175"/>
    <w:rsid w:val="00B5397C"/>
    <w:rsid w:val="00B54FA9"/>
    <w:rsid w:val="00B57B0B"/>
    <w:rsid w:val="00B63996"/>
    <w:rsid w:val="00B64308"/>
    <w:rsid w:val="00B65167"/>
    <w:rsid w:val="00B71F74"/>
    <w:rsid w:val="00B73C23"/>
    <w:rsid w:val="00B771FF"/>
    <w:rsid w:val="00B82C45"/>
    <w:rsid w:val="00B8516D"/>
    <w:rsid w:val="00B903D8"/>
    <w:rsid w:val="00B95E99"/>
    <w:rsid w:val="00BA054F"/>
    <w:rsid w:val="00BA123B"/>
    <w:rsid w:val="00BA3721"/>
    <w:rsid w:val="00BA5832"/>
    <w:rsid w:val="00BA7802"/>
    <w:rsid w:val="00BB059B"/>
    <w:rsid w:val="00BB25FB"/>
    <w:rsid w:val="00BB4B21"/>
    <w:rsid w:val="00BD1A0B"/>
    <w:rsid w:val="00BD3C26"/>
    <w:rsid w:val="00BD7EA0"/>
    <w:rsid w:val="00BE0DE4"/>
    <w:rsid w:val="00BE2210"/>
    <w:rsid w:val="00BE5AC7"/>
    <w:rsid w:val="00BE5E1C"/>
    <w:rsid w:val="00BF1CED"/>
    <w:rsid w:val="00BF3E58"/>
    <w:rsid w:val="00BF4A8E"/>
    <w:rsid w:val="00BF73E4"/>
    <w:rsid w:val="00BF75D8"/>
    <w:rsid w:val="00C0628D"/>
    <w:rsid w:val="00C23C8C"/>
    <w:rsid w:val="00C3042D"/>
    <w:rsid w:val="00C30AA7"/>
    <w:rsid w:val="00C362B7"/>
    <w:rsid w:val="00C3693F"/>
    <w:rsid w:val="00C37A6A"/>
    <w:rsid w:val="00C436B8"/>
    <w:rsid w:val="00C443D7"/>
    <w:rsid w:val="00C620FD"/>
    <w:rsid w:val="00C62DC9"/>
    <w:rsid w:val="00C639E4"/>
    <w:rsid w:val="00C640C1"/>
    <w:rsid w:val="00C71CED"/>
    <w:rsid w:val="00C7671F"/>
    <w:rsid w:val="00C778C6"/>
    <w:rsid w:val="00C80C62"/>
    <w:rsid w:val="00C82A8A"/>
    <w:rsid w:val="00C84D4C"/>
    <w:rsid w:val="00C8634C"/>
    <w:rsid w:val="00C9545A"/>
    <w:rsid w:val="00CA168B"/>
    <w:rsid w:val="00CA4694"/>
    <w:rsid w:val="00CA53DD"/>
    <w:rsid w:val="00CB032B"/>
    <w:rsid w:val="00CB0554"/>
    <w:rsid w:val="00CB39F8"/>
    <w:rsid w:val="00CC1136"/>
    <w:rsid w:val="00CC5606"/>
    <w:rsid w:val="00CD02A5"/>
    <w:rsid w:val="00CD7F0B"/>
    <w:rsid w:val="00CF1EA3"/>
    <w:rsid w:val="00CF5A2D"/>
    <w:rsid w:val="00CF69EC"/>
    <w:rsid w:val="00D04142"/>
    <w:rsid w:val="00D044DC"/>
    <w:rsid w:val="00D05A02"/>
    <w:rsid w:val="00D0725D"/>
    <w:rsid w:val="00D11F38"/>
    <w:rsid w:val="00D11F49"/>
    <w:rsid w:val="00D17467"/>
    <w:rsid w:val="00D2150F"/>
    <w:rsid w:val="00D215DF"/>
    <w:rsid w:val="00D33ACC"/>
    <w:rsid w:val="00D33E3B"/>
    <w:rsid w:val="00D37746"/>
    <w:rsid w:val="00D40B85"/>
    <w:rsid w:val="00D535AC"/>
    <w:rsid w:val="00D555C7"/>
    <w:rsid w:val="00D566F4"/>
    <w:rsid w:val="00D60855"/>
    <w:rsid w:val="00D60BC8"/>
    <w:rsid w:val="00D621F5"/>
    <w:rsid w:val="00D77D8E"/>
    <w:rsid w:val="00D81F86"/>
    <w:rsid w:val="00D821B7"/>
    <w:rsid w:val="00D84A5C"/>
    <w:rsid w:val="00DB4086"/>
    <w:rsid w:val="00DC075C"/>
    <w:rsid w:val="00DC4117"/>
    <w:rsid w:val="00DC56EF"/>
    <w:rsid w:val="00DC6FBB"/>
    <w:rsid w:val="00DD5D38"/>
    <w:rsid w:val="00DD5E78"/>
    <w:rsid w:val="00DD6C0A"/>
    <w:rsid w:val="00DE05FE"/>
    <w:rsid w:val="00DE5593"/>
    <w:rsid w:val="00DE5EE8"/>
    <w:rsid w:val="00DE7D1E"/>
    <w:rsid w:val="00DF0B01"/>
    <w:rsid w:val="00DF56B6"/>
    <w:rsid w:val="00DF5A46"/>
    <w:rsid w:val="00E073F9"/>
    <w:rsid w:val="00E1065C"/>
    <w:rsid w:val="00E10B5B"/>
    <w:rsid w:val="00E11105"/>
    <w:rsid w:val="00E16939"/>
    <w:rsid w:val="00E1744B"/>
    <w:rsid w:val="00E1766A"/>
    <w:rsid w:val="00E227F4"/>
    <w:rsid w:val="00E267E6"/>
    <w:rsid w:val="00E34501"/>
    <w:rsid w:val="00E35B8F"/>
    <w:rsid w:val="00E40078"/>
    <w:rsid w:val="00E41A79"/>
    <w:rsid w:val="00E4461B"/>
    <w:rsid w:val="00E4520C"/>
    <w:rsid w:val="00E461E9"/>
    <w:rsid w:val="00E50A7D"/>
    <w:rsid w:val="00E54D24"/>
    <w:rsid w:val="00E56AAF"/>
    <w:rsid w:val="00E57F92"/>
    <w:rsid w:val="00E62B01"/>
    <w:rsid w:val="00E64B67"/>
    <w:rsid w:val="00E669CD"/>
    <w:rsid w:val="00E70A2C"/>
    <w:rsid w:val="00E7146D"/>
    <w:rsid w:val="00E7168D"/>
    <w:rsid w:val="00E81A92"/>
    <w:rsid w:val="00E83A1D"/>
    <w:rsid w:val="00E84769"/>
    <w:rsid w:val="00E847A7"/>
    <w:rsid w:val="00E85FF2"/>
    <w:rsid w:val="00E86CBA"/>
    <w:rsid w:val="00E90E39"/>
    <w:rsid w:val="00E93C0F"/>
    <w:rsid w:val="00E93C25"/>
    <w:rsid w:val="00E974C6"/>
    <w:rsid w:val="00EA21EA"/>
    <w:rsid w:val="00EA5D8D"/>
    <w:rsid w:val="00EB1557"/>
    <w:rsid w:val="00EB278B"/>
    <w:rsid w:val="00EB3602"/>
    <w:rsid w:val="00EC2A56"/>
    <w:rsid w:val="00EC4C29"/>
    <w:rsid w:val="00ED3522"/>
    <w:rsid w:val="00ED45CE"/>
    <w:rsid w:val="00ED5A80"/>
    <w:rsid w:val="00EE51D1"/>
    <w:rsid w:val="00EE570F"/>
    <w:rsid w:val="00EE5F89"/>
    <w:rsid w:val="00EF1B2D"/>
    <w:rsid w:val="00F0196A"/>
    <w:rsid w:val="00F04B6A"/>
    <w:rsid w:val="00F07B2D"/>
    <w:rsid w:val="00F172EE"/>
    <w:rsid w:val="00F22FC2"/>
    <w:rsid w:val="00F248B6"/>
    <w:rsid w:val="00F30320"/>
    <w:rsid w:val="00F31637"/>
    <w:rsid w:val="00F3225C"/>
    <w:rsid w:val="00F33B9F"/>
    <w:rsid w:val="00F41932"/>
    <w:rsid w:val="00F44C22"/>
    <w:rsid w:val="00F44EC3"/>
    <w:rsid w:val="00F4789A"/>
    <w:rsid w:val="00F51C00"/>
    <w:rsid w:val="00F51FDE"/>
    <w:rsid w:val="00F60E09"/>
    <w:rsid w:val="00F61364"/>
    <w:rsid w:val="00F614C4"/>
    <w:rsid w:val="00F61E2F"/>
    <w:rsid w:val="00F621EC"/>
    <w:rsid w:val="00F66BB9"/>
    <w:rsid w:val="00F71C17"/>
    <w:rsid w:val="00F7256C"/>
    <w:rsid w:val="00F75A59"/>
    <w:rsid w:val="00F7650A"/>
    <w:rsid w:val="00F85455"/>
    <w:rsid w:val="00F95DDF"/>
    <w:rsid w:val="00F96108"/>
    <w:rsid w:val="00FA70A7"/>
    <w:rsid w:val="00FB5337"/>
    <w:rsid w:val="00FB7AEB"/>
    <w:rsid w:val="00FC2874"/>
    <w:rsid w:val="00FC2E34"/>
    <w:rsid w:val="00FC3F69"/>
    <w:rsid w:val="00FC5D9A"/>
    <w:rsid w:val="00FD004D"/>
    <w:rsid w:val="00FD06DF"/>
    <w:rsid w:val="00FD0B4D"/>
    <w:rsid w:val="00FE19D6"/>
    <w:rsid w:val="00FE316C"/>
    <w:rsid w:val="00FF4459"/>
    <w:rsid w:val="00FF521E"/>
    <w:rsid w:val="01CE5DCA"/>
    <w:rsid w:val="575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BF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58"/>
    <w:pPr>
      <w:spacing w:before="120" w:after="120"/>
    </w:pPr>
    <w:rPr>
      <w:rFonts w:ascii="Calibri Light" w:eastAsia="Times New Roman" w:hAnsi="Calibri Light"/>
      <w:lang w:eastAsia="en-AU"/>
    </w:rPr>
  </w:style>
  <w:style w:type="paragraph" w:styleId="Heading1">
    <w:name w:val="heading 1"/>
    <w:next w:val="Normal"/>
    <w:link w:val="Heading1Char"/>
    <w:qFormat/>
    <w:rsid w:val="004C1F58"/>
    <w:pPr>
      <w:keepNext/>
      <w:spacing w:before="240" w:after="120" w:line="460" w:lineRule="exact"/>
      <w:outlineLvl w:val="0"/>
    </w:pPr>
    <w:rPr>
      <w:rFonts w:eastAsia="Times New Roman" w:cs="Arial"/>
      <w:b/>
      <w:color w:val="5D779D" w:themeColor="accent3"/>
      <w:kern w:val="32"/>
      <w:sz w:val="28"/>
      <w:szCs w:val="36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A21B06"/>
    <w:pPr>
      <w:keepNext/>
      <w:spacing w:before="0" w:after="60"/>
      <w:outlineLvl w:val="1"/>
    </w:pPr>
    <w:rPr>
      <w:rFonts w:ascii="Calibri" w:hAnsi="Calibri" w:cs="Arial"/>
      <w:b/>
      <w:iCs/>
      <w:color w:val="5D779D" w:themeColor="accent3"/>
      <w:kern w:val="32"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A21B06"/>
    <w:pPr>
      <w:keepNext/>
      <w:spacing w:before="0" w:after="60" w:line="276" w:lineRule="auto"/>
      <w:outlineLvl w:val="2"/>
    </w:pPr>
    <w:rPr>
      <w:rFonts w:ascii="Calibri" w:hAnsi="Calibri" w:cs="Arial"/>
      <w:b/>
      <w:color w:val="5D779D" w:themeColor="accent3"/>
      <w:kern w:val="32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C5140"/>
    <w:pPr>
      <w:keepNext/>
      <w:spacing w:before="0" w:after="60"/>
      <w:outlineLvl w:val="3"/>
    </w:pPr>
    <w:rPr>
      <w:rFonts w:cs="Arial"/>
      <w:b/>
      <w:color w:val="5D779D" w:themeColor="accent3"/>
      <w:kern w:val="32"/>
      <w:sz w:val="22"/>
      <w:szCs w:val="26"/>
    </w:rPr>
  </w:style>
  <w:style w:type="paragraph" w:styleId="Heading5">
    <w:name w:val="heading 5"/>
    <w:basedOn w:val="Normal"/>
    <w:next w:val="Normal"/>
    <w:link w:val="Heading5Char"/>
    <w:rsid w:val="005C5140"/>
    <w:pPr>
      <w:keepNext/>
      <w:spacing w:before="0" w:after="60"/>
      <w:outlineLvl w:val="4"/>
    </w:pPr>
    <w:rPr>
      <w:rFonts w:asciiTheme="majorHAnsi" w:hAnsiTheme="majorHAnsi" w:cs="Arial"/>
      <w:b/>
      <w:iCs/>
      <w:color w:val="5D779D" w:themeColor="accent3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next w:val="Normal"/>
    <w:link w:val="Heading8Char"/>
    <w:uiPriority w:val="9"/>
    <w:unhideWhenUsed/>
    <w:rsid w:val="007D6C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D6C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Footer text"/>
    <w:basedOn w:val="Normal"/>
    <w:link w:val="HeaderChar"/>
    <w:rsid w:val="00251470"/>
    <w:rPr>
      <w:noProof/>
      <w:sz w:val="18"/>
    </w:rPr>
  </w:style>
  <w:style w:type="character" w:customStyle="1" w:styleId="HeaderChar">
    <w:name w:val="Header Char"/>
    <w:aliases w:val="Footer text Char"/>
    <w:basedOn w:val="DefaultParagraphFont"/>
    <w:link w:val="Header"/>
    <w:rsid w:val="00251470"/>
    <w:rPr>
      <w:rFonts w:ascii="Calibri Light" w:eastAsia="Times New Roman" w:hAnsi="Calibri Light"/>
      <w:noProof/>
      <w:sz w:val="18"/>
      <w:lang w:eastAsia="en-AU"/>
    </w:rPr>
  </w:style>
  <w:style w:type="paragraph" w:customStyle="1" w:styleId="Factsheettitle">
    <w:name w:val="Fact sheet title"/>
    <w:basedOn w:val="Normal"/>
    <w:qFormat/>
    <w:rsid w:val="003D3F5F"/>
    <w:pPr>
      <w:spacing w:before="840" w:after="200"/>
    </w:pPr>
    <w:rPr>
      <w:rFonts w:ascii="Calibri" w:hAnsi="Calibri"/>
      <w:b/>
      <w:color w:val="2C384A" w:themeColor="accent1"/>
      <w:sz w:val="36"/>
      <w:szCs w:val="68"/>
    </w:rPr>
  </w:style>
  <w:style w:type="character" w:customStyle="1" w:styleId="Heading1Char">
    <w:name w:val="Heading 1 Char"/>
    <w:basedOn w:val="DefaultParagraphFont"/>
    <w:link w:val="Heading1"/>
    <w:rsid w:val="004C1F58"/>
    <w:rPr>
      <w:rFonts w:eastAsia="Times New Roman" w:cs="Arial"/>
      <w:b/>
      <w:color w:val="5D779D" w:themeColor="accent3"/>
      <w:kern w:val="32"/>
      <w:sz w:val="28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  <w:tab w:val="num" w:pos="1440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216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21B06"/>
    <w:rPr>
      <w:rFonts w:eastAsia="Times New Roman" w:cs="Arial"/>
      <w:b/>
      <w:iCs/>
      <w:color w:val="5D779D" w:themeColor="accent3"/>
      <w:kern w:val="32"/>
      <w:sz w:val="2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21B06"/>
    <w:rPr>
      <w:rFonts w:eastAsia="Times New Roman" w:cs="Arial"/>
      <w:b/>
      <w:color w:val="5D779D" w:themeColor="accent3"/>
      <w:kern w:val="32"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5C5140"/>
    <w:rPr>
      <w:rFonts w:ascii="Calibri Light" w:eastAsia="Times New Roman" w:hAnsi="Calibri Light" w:cs="Arial"/>
      <w:b/>
      <w:color w:val="5D779D" w:themeColor="accent3"/>
      <w:kern w:val="32"/>
      <w:sz w:val="22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D77D8E"/>
    <w:pPr>
      <w:numPr>
        <w:ilvl w:val="1"/>
      </w:numPr>
      <w:pBdr>
        <w:bottom w:val="single" w:sz="4" w:space="8" w:color="auto"/>
      </w:pBdr>
    </w:pPr>
    <w:rPr>
      <w:rFonts w:ascii="Calibri" w:eastAsiaTheme="minorEastAsia" w:hAnsi="Calibri" w:cstheme="minorBidi"/>
      <w:color w:val="10263B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5C5140"/>
    <w:rPr>
      <w:rFonts w:asciiTheme="majorHAnsi" w:eastAsia="Times New Roman" w:hAnsiTheme="majorHAnsi" w:cs="Arial"/>
      <w:b/>
      <w:iCs/>
      <w:color w:val="5D779D" w:themeColor="accent3"/>
      <w:kern w:val="32"/>
      <w:szCs w:val="36"/>
      <w:lang w:eastAsia="en-AU"/>
    </w:rPr>
  </w:style>
  <w:style w:type="paragraph" w:customStyle="1" w:styleId="BoxHeading">
    <w:name w:val="Box Heading"/>
    <w:basedOn w:val="Normal"/>
    <w:next w:val="Normal"/>
    <w:qFormat/>
    <w:rsid w:val="007D6CEC"/>
    <w:pPr>
      <w:keepNext/>
      <w:spacing w:before="0"/>
    </w:pPr>
    <w:rPr>
      <w:rFonts w:asciiTheme="majorHAnsi" w:hAnsiTheme="majorHAnsi"/>
      <w:b/>
      <w:color w:val="2C384A" w:themeColor="accent1"/>
      <w:sz w:val="28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  <w:tab w:val="num" w:pos="7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qFormat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7D6CEC"/>
    <w:rPr>
      <w:rFonts w:asciiTheme="majorHAnsi" w:eastAsiaTheme="majorEastAsia" w:hAnsiTheme="majorHAnsi" w:cstheme="majorBidi"/>
      <w:iCs/>
      <w:color w:val="272727" w:themeColor="text1" w:themeTint="D8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7D6CEC"/>
    <w:rPr>
      <w:rFonts w:asciiTheme="majorHAnsi" w:eastAsiaTheme="majorEastAsia" w:hAnsiTheme="majorHAnsi" w:cstheme="majorBidi"/>
      <w:color w:val="272727" w:themeColor="text1" w:themeTint="D8"/>
      <w:szCs w:val="21"/>
      <w:lang w:eastAsia="en-AU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76F33"/>
    <w:pPr>
      <w:spacing w:before="0"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76F33"/>
    <w:rPr>
      <w:rFonts w:ascii="Calibri Light" w:eastAsia="Times New Roman" w:hAnsi="Calibri Light"/>
      <w:sz w:val="16"/>
      <w:lang w:eastAsia="en-AU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paragraph" w:customStyle="1" w:styleId="Chart">
    <w:name w:val="Chart"/>
    <w:basedOn w:val="Normal"/>
    <w:qFormat/>
    <w:rsid w:val="003D3F5F"/>
    <w:pPr>
      <w:keepNext/>
      <w:jc w:val="center"/>
    </w:pPr>
    <w:rPr>
      <w:noProof/>
    </w:rPr>
  </w:style>
  <w:style w:type="paragraph" w:customStyle="1" w:styleId="Chartsource">
    <w:name w:val="Chart source"/>
    <w:basedOn w:val="Normal"/>
    <w:qFormat/>
    <w:rsid w:val="000E7BF4"/>
    <w:pPr>
      <w:keepNext/>
      <w:spacing w:before="0" w:after="0"/>
    </w:pPr>
    <w:rPr>
      <w:sz w:val="16"/>
    </w:rPr>
  </w:style>
  <w:style w:type="paragraph" w:customStyle="1" w:styleId="Charttitle">
    <w:name w:val="Chart title"/>
    <w:basedOn w:val="Normal"/>
    <w:qFormat/>
    <w:rsid w:val="004C1F58"/>
    <w:pPr>
      <w:keepNext/>
      <w:spacing w:before="240"/>
      <w:jc w:val="center"/>
    </w:pPr>
    <w:rPr>
      <w:rFonts w:eastAsiaTheme="minorHAnsi"/>
      <w:b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5ACA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5ACA"/>
    <w:rPr>
      <w:rFonts w:ascii="Calibri Light" w:eastAsia="Times New Roman" w:hAnsi="Calibri Light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B5ACA"/>
    <w:rPr>
      <w:vertAlign w:val="superscript"/>
    </w:rPr>
  </w:style>
  <w:style w:type="paragraph" w:customStyle="1" w:styleId="SecurityClassificationHeader">
    <w:name w:val="Security Classification Header"/>
    <w:link w:val="SecurityClassificationHeaderChar"/>
    <w:rsid w:val="005A3FC8"/>
    <w:pPr>
      <w:spacing w:before="60" w:after="6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5A3FC8"/>
    <w:pPr>
      <w:spacing w:before="60" w:after="6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DLMSecurityHeader">
    <w:name w:val="DLM Security Header"/>
    <w:link w:val="DLMSecurityHeaderChar"/>
    <w:rsid w:val="005A3FC8"/>
    <w:pPr>
      <w:spacing w:before="60" w:after="24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DLMSecurityFooter">
    <w:name w:val="DLM Security Footer"/>
    <w:link w:val="DLMSecurityFooterChar"/>
    <w:rsid w:val="005A3FC8"/>
    <w:pPr>
      <w:spacing w:before="240" w:after="60"/>
      <w:jc w:val="center"/>
    </w:pPr>
    <w:rPr>
      <w:rFonts w:eastAsia="Times New Roman" w:cs="Calibri"/>
      <w:b/>
      <w:noProof/>
      <w:color w:val="FF0000"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5A3FC8"/>
    <w:rPr>
      <w:rFonts w:ascii="Calibri Light" w:eastAsia="Times New Roman" w:hAnsi="Calibri Light" w:cs="Calibri"/>
      <w:b/>
      <w:noProof/>
      <w:color w:val="FF0000"/>
      <w:sz w:val="24"/>
      <w:lang w:eastAsia="en-AU"/>
    </w:rPr>
  </w:style>
  <w:style w:type="paragraph" w:customStyle="1" w:styleId="OutlineNumbered1">
    <w:name w:val="Outline Numbered 1"/>
    <w:basedOn w:val="Normal"/>
    <w:link w:val="OutlineNumbered1Char"/>
    <w:rsid w:val="00B65167"/>
    <w:pPr>
      <w:numPr>
        <w:numId w:val="19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B65167"/>
    <w:rPr>
      <w:rFonts w:ascii="Calibri Light" w:eastAsia="Times New Roman" w:hAnsi="Calibri Light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B65167"/>
    <w:pPr>
      <w:numPr>
        <w:ilvl w:val="1"/>
        <w:numId w:val="19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B65167"/>
    <w:rPr>
      <w:rFonts w:ascii="Calibri Light" w:eastAsia="Times New Roman" w:hAnsi="Calibri Light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B65167"/>
    <w:pPr>
      <w:numPr>
        <w:ilvl w:val="2"/>
        <w:numId w:val="19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B65167"/>
    <w:rPr>
      <w:rFonts w:ascii="Calibri Light" w:eastAsia="Times New Roman" w:hAnsi="Calibri Light"/>
      <w:lang w:eastAsia="en-AU"/>
    </w:rPr>
  </w:style>
  <w:style w:type="paragraph" w:styleId="Footer">
    <w:name w:val="footer"/>
    <w:basedOn w:val="Normal"/>
    <w:link w:val="FooterChar"/>
    <w:uiPriority w:val="99"/>
    <w:rsid w:val="002514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470"/>
    <w:rPr>
      <w:rFonts w:ascii="Calibri Light" w:eastAsia="Times New Roman" w:hAnsi="Calibri Light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B5A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05B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BB3"/>
  </w:style>
  <w:style w:type="character" w:customStyle="1" w:styleId="CommentTextChar">
    <w:name w:val="Comment Text Char"/>
    <w:basedOn w:val="DefaultParagraphFont"/>
    <w:link w:val="CommentText"/>
    <w:rsid w:val="00B05BB3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BB3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f1563393ec40bab67ae77364d7de7f xmlns="8c57e0fa-036b-4c8d-acdb-7bd9ad1e43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Standards</TermName>
          <TermId xmlns="http://schemas.microsoft.com/office/infopath/2007/PartnerControls">624ab263-161b-4a82-af9f-b63e668902b6</TermId>
        </TermInfo>
      </Terms>
    </m4f1563393ec40bab67ae77364d7de7f>
    <_dlc_DocId xmlns="fe39d773-a83d-4623-ae74-f25711a76616">CVU2EWSR5YTJ-615004072-726</_dlc_DocId>
    <gfba5f33532c49208d2320ce38cc3c2b xmlns="fe39d773-a83d-4623-ae74-f25711a76616">
      <Terms xmlns="http://schemas.microsoft.com/office/infopath/2007/PartnerControls"/>
    </gfba5f33532c49208d2320ce38cc3c2b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/>
    </e4fe7dcdd1c0411bbf19a4de3665191f>
    <_dlc_DocIdUrl xmlns="fe39d773-a83d-4623-ae74-f25711a76616">
      <Url>https://austreasury.sharepoint.com/sites/fap-function/_layouts/15/DocIdRedir.aspx?ID=CVU2EWSR5YTJ-615004072-726</Url>
      <Description>CVU2EWSR5YTJ-615004072-726</Description>
    </_dlc_DocIdUrl>
    <f86a781452f6492eb5bc5c55796de7f2 xmlns="8c57e0fa-036b-4c8d-acdb-7bd9ad1e43e7">
      <Terms xmlns="http://schemas.microsoft.com/office/infopath/2007/PartnerControls"/>
    </f86a781452f6492eb5bc5c55796de7f2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System</TermName>
          <TermId xmlns="http://schemas.microsoft.com/office/infopath/2007/PartnerControls">047002ef-5ee0-47ee-8184-5f4aaddfe3b3</TermId>
        </TermInfo>
      </Terms>
    </a48f371a4a874164b16a8c4aab488f5c>
    <TaxCatchAll xmlns="1de57c58-46f3-428b-b4d3-b5fbc4164ac7">
      <Value>62</Value>
      <Value>1</Value>
      <Value>49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55753D7D4A429CB57F369038E46B" ma:contentTypeVersion="22" ma:contentTypeDescription="Create a new document." ma:contentTypeScope="" ma:versionID="0119ca4731fefa8e373dfe782d96b6e1">
  <xsd:schema xmlns:xsd="http://www.w3.org/2001/XMLSchema" xmlns:xs="http://www.w3.org/2001/XMLSchema" xmlns:p="http://schemas.microsoft.com/office/2006/metadata/properties" xmlns:ns2="1de57c58-46f3-428b-b4d3-b5fbc4164ac7" xmlns:ns3="fe39d773-a83d-4623-ae74-f25711a76616" xmlns:ns4="8c57e0fa-036b-4c8d-acdb-7bd9ad1e43e7" targetNamespace="http://schemas.microsoft.com/office/2006/metadata/properties" ma:root="true" ma:fieldsID="7242b44bcc61c2a627d61cc382037335" ns2:_="" ns3:_="" ns4:_="">
    <xsd:import namespace="1de57c58-46f3-428b-b4d3-b5fbc4164ac7"/>
    <xsd:import namespace="fe39d773-a83d-4623-ae74-f25711a76616"/>
    <xsd:import namespace="8c57e0fa-036b-4c8d-acdb-7bd9ad1e43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4f1563393ec40bab67ae77364d7de7f" minOccurs="0"/>
                <xsd:element ref="ns4:f86a781452f6492eb5bc5c55796de7f2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7c58-46f3-428b-b4d3-b5fbc4164a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33bf51-d73c-4e4a-bdd0-8dd1ead1a93a}" ma:internalName="TaxCatchAll" ma:showField="CatchAllData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a33bf51-d73c-4e4a-bdd0-8dd1ead1a93a}" ma:internalName="TaxCatchAllLabel" ma:readOnly="true" ma:showField="CatchAllDataLabel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Financial System|047002ef-5ee0-47ee-8184-5f4aaddfe3b3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nillable="true" ma:taxonomy="true" ma:internalName="e4fe7dcdd1c0411bbf19a4de3665191f" ma:taxonomyFieldName="eActivity" ma:displayName="Activity" ma:readOnly="false" ma:default="" ma:fieldId="{e4fe7dcd-d1c0-411b-bf19-a4de3665191f}" ma:sspId="218240cd-c75f-40bd-87f4-262ac964b25b" ma:termSetId="ea57add9-3702-41d5-8bbb-6be5584aa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a67d3988-ca60-4408-8b47-7a45cdfb7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c7b776-33ca-42a9-827d-200313da64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e0fa-036b-4c8d-acdb-7bd9ad1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4f1563393ec40bab67ae77364d7de7f" ma:index="28" ma:taxonomy="true" ma:internalName="m4f1563393ec40bab67ae77364d7de7f" ma:taxonomyFieldName="Topic_x0020_2" ma:displayName="Topic 2" ma:default="" ma:fieldId="{64f15633-93ec-40ba-b67a-e77364d7de7f}" ma:sspId="218240cd-c75f-40bd-87f4-262ac964b25b" ma:termSetId="14941f42-108d-4870-89f6-9067be4dc5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6a781452f6492eb5bc5c55796de7f2" ma:index="30" nillable="true" ma:taxonomy="true" ma:internalName="f86a781452f6492eb5bc5c55796de7f2" ma:taxonomyFieldName="Topic_x0020_3" ma:displayName="Topic 3" ma:default="" ma:fieldId="{f86a7814-52f6-492e-b5bc-5c55796de7f2}" ma:sspId="218240cd-c75f-40bd-87f4-262ac964b25b" ma:termSetId="65e7aa2a-7519-4c2e-a438-001bb4ffc3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0F912-DDAD-4F9F-A17D-ABB1E7BD9F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1D086-BDD5-4AFB-AF28-F24CE7936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3D69D-51CE-448D-99FD-F18941F2B64A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1de57c58-46f3-428b-b4d3-b5fbc4164ac7"/>
    <ds:schemaRef ds:uri="http://schemas.microsoft.com/office/infopath/2007/PartnerControls"/>
    <ds:schemaRef ds:uri="fe39d773-a83d-4623-ae74-f25711a76616"/>
    <ds:schemaRef ds:uri="http://purl.org/dc/dcmitype/"/>
    <ds:schemaRef ds:uri="http://schemas.openxmlformats.org/package/2006/metadata/core-properties"/>
    <ds:schemaRef ds:uri="8c57e0fa-036b-4c8d-acdb-7bd9ad1e43e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B4DD442-84A7-4051-9654-1DC0E36D5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7c58-46f3-428b-b4d3-b5fbc4164ac7"/>
    <ds:schemaRef ds:uri="fe39d773-a83d-4623-ae74-f25711a76616"/>
    <ds:schemaRef ds:uri="8c57e0fa-036b-4c8d-acdb-7bd9ad1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3422</Characters>
  <Application>Microsoft Office Word</Application>
  <DocSecurity>0</DocSecurity>
  <Lines>134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advanced diplomas of financial planning and professional designations</vt:lpstr>
    </vt:vector>
  </TitlesOfParts>
  <Company/>
  <LinksUpToDate>false</LinksUpToDate>
  <CharactersWithSpaces>3871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https://www.legislation.gov.au/Details/C2021C00430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https://www.legislation.gov.au/Details/F2023C00575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advanced diplomas of financial planning and professional designations</dc:title>
  <dc:subject/>
  <dc:creator/>
  <cp:keywords/>
  <dc:description/>
  <cp:lastModifiedBy/>
  <cp:revision>1</cp:revision>
  <dcterms:created xsi:type="dcterms:W3CDTF">2023-10-09T03:18:00Z</dcterms:created>
  <dcterms:modified xsi:type="dcterms:W3CDTF">2023-10-09T03:18:00Z</dcterms:modified>
  <cp:category/>
</cp:coreProperties>
</file>